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5585" w14:textId="77777777" w:rsidR="00503218" w:rsidRPr="00D65BD6" w:rsidRDefault="00503218" w:rsidP="00503218">
      <w:pPr>
        <w:pStyle w:val="p1"/>
        <w:spacing w:before="0" w:beforeAutospacing="0" w:after="30" w:afterAutospacing="0"/>
        <w:jc w:val="center"/>
        <w:rPr>
          <w:rFonts w:ascii="Arial" w:hAnsi="Arial" w:cs="Arial"/>
          <w:b/>
          <w:bCs/>
          <w:color w:val="000000"/>
          <w:sz w:val="40"/>
          <w:szCs w:val="40"/>
        </w:rPr>
      </w:pPr>
    </w:p>
    <w:p w14:paraId="65328DE1" w14:textId="77777777" w:rsidR="00503218" w:rsidRPr="00D65BD6" w:rsidRDefault="00503218" w:rsidP="00503218">
      <w:pPr>
        <w:pStyle w:val="p1"/>
        <w:spacing w:before="0" w:beforeAutospacing="0" w:after="30" w:afterAutospacing="0"/>
        <w:jc w:val="center"/>
        <w:rPr>
          <w:rFonts w:ascii="Arial" w:hAnsi="Arial" w:cs="Arial"/>
          <w:b/>
          <w:bCs/>
          <w:color w:val="000000"/>
          <w:sz w:val="40"/>
          <w:szCs w:val="40"/>
        </w:rPr>
      </w:pPr>
    </w:p>
    <w:p w14:paraId="13FBF90F" w14:textId="77777777" w:rsidR="00996DEC" w:rsidRDefault="00996DEC" w:rsidP="00503218">
      <w:pPr>
        <w:pStyle w:val="p1"/>
        <w:spacing w:before="0" w:beforeAutospacing="0" w:after="30" w:afterAutospacing="0"/>
        <w:jc w:val="center"/>
        <w:rPr>
          <w:rFonts w:ascii="Arial" w:hAnsi="Arial" w:cs="Arial"/>
          <w:b/>
          <w:bCs/>
          <w:color w:val="000000"/>
          <w:sz w:val="40"/>
          <w:szCs w:val="40"/>
        </w:rPr>
      </w:pPr>
    </w:p>
    <w:p w14:paraId="24D9F06B" w14:textId="77777777" w:rsidR="00996DEC" w:rsidRDefault="00996DEC" w:rsidP="00503218">
      <w:pPr>
        <w:pStyle w:val="p1"/>
        <w:spacing w:before="0" w:beforeAutospacing="0" w:after="30" w:afterAutospacing="0"/>
        <w:jc w:val="center"/>
        <w:rPr>
          <w:rFonts w:ascii="Arial" w:hAnsi="Arial" w:cs="Arial"/>
          <w:b/>
          <w:bCs/>
          <w:color w:val="000000"/>
          <w:sz w:val="40"/>
          <w:szCs w:val="40"/>
        </w:rPr>
      </w:pPr>
    </w:p>
    <w:p w14:paraId="236B82B2" w14:textId="77777777" w:rsidR="00996DEC" w:rsidRDefault="00996DEC" w:rsidP="00503218">
      <w:pPr>
        <w:pStyle w:val="p1"/>
        <w:spacing w:before="0" w:beforeAutospacing="0" w:after="30" w:afterAutospacing="0"/>
        <w:jc w:val="center"/>
        <w:rPr>
          <w:rFonts w:ascii="Arial" w:hAnsi="Arial" w:cs="Arial"/>
          <w:b/>
          <w:bCs/>
          <w:color w:val="000000"/>
          <w:sz w:val="40"/>
          <w:szCs w:val="40"/>
        </w:rPr>
      </w:pPr>
    </w:p>
    <w:p w14:paraId="014497BD" w14:textId="77777777" w:rsidR="00996DEC" w:rsidRDefault="00996DEC" w:rsidP="00503218">
      <w:pPr>
        <w:pStyle w:val="p1"/>
        <w:spacing w:before="0" w:beforeAutospacing="0" w:after="30" w:afterAutospacing="0"/>
        <w:jc w:val="center"/>
        <w:rPr>
          <w:rFonts w:ascii="Arial" w:hAnsi="Arial" w:cs="Arial"/>
          <w:b/>
          <w:bCs/>
          <w:color w:val="000000"/>
          <w:sz w:val="40"/>
          <w:szCs w:val="40"/>
        </w:rPr>
      </w:pPr>
    </w:p>
    <w:p w14:paraId="5CCAFB06" w14:textId="77777777" w:rsidR="00996DEC" w:rsidRDefault="00996DEC" w:rsidP="00503218">
      <w:pPr>
        <w:pStyle w:val="p1"/>
        <w:spacing w:before="0" w:beforeAutospacing="0" w:after="30" w:afterAutospacing="0"/>
        <w:jc w:val="center"/>
        <w:rPr>
          <w:rFonts w:ascii="Arial" w:hAnsi="Arial" w:cs="Arial"/>
          <w:b/>
          <w:bCs/>
          <w:color w:val="000000"/>
          <w:sz w:val="40"/>
          <w:szCs w:val="40"/>
        </w:rPr>
      </w:pPr>
    </w:p>
    <w:p w14:paraId="5F79E447" w14:textId="7B7D1EE1" w:rsidR="00503218" w:rsidRPr="00D65BD6" w:rsidRDefault="00BC581C" w:rsidP="00503218">
      <w:pPr>
        <w:pStyle w:val="p1"/>
        <w:spacing w:before="0" w:beforeAutospacing="0" w:after="30" w:afterAutospacing="0"/>
        <w:jc w:val="center"/>
        <w:rPr>
          <w:rFonts w:ascii="Arial" w:hAnsi="Arial" w:cs="Arial"/>
          <w:b/>
          <w:bCs/>
          <w:color w:val="000000"/>
          <w:sz w:val="40"/>
          <w:szCs w:val="40"/>
        </w:rPr>
      </w:pPr>
      <w:bookmarkStart w:id="0" w:name="_Hlk128813830"/>
      <w:bookmarkStart w:id="1" w:name="_GoBack"/>
      <w:bookmarkEnd w:id="1"/>
      <w:r>
        <w:rPr>
          <w:rFonts w:ascii="Arial" w:hAnsi="Arial" w:cs="Arial"/>
          <w:b/>
          <w:bCs/>
          <w:color w:val="000000"/>
          <w:sz w:val="40"/>
          <w:szCs w:val="40"/>
        </w:rPr>
        <w:t>Kockázatértékelési és b</w:t>
      </w:r>
      <w:r w:rsidR="00503218" w:rsidRPr="00D65BD6">
        <w:rPr>
          <w:rFonts w:ascii="Arial" w:hAnsi="Arial" w:cs="Arial"/>
          <w:b/>
          <w:bCs/>
          <w:color w:val="000000"/>
          <w:sz w:val="40"/>
          <w:szCs w:val="40"/>
        </w:rPr>
        <w:t xml:space="preserve">iztonsági osztályba sorolási útmutató DIMOP pályázat keretében </w:t>
      </w:r>
      <w:r w:rsidR="00C439BE" w:rsidRPr="00D65BD6">
        <w:rPr>
          <w:rFonts w:ascii="Arial" w:hAnsi="Arial" w:cs="Arial"/>
          <w:b/>
          <w:bCs/>
          <w:color w:val="000000"/>
          <w:sz w:val="40"/>
          <w:szCs w:val="40"/>
        </w:rPr>
        <w:t>fejleszte</w:t>
      </w:r>
      <w:r w:rsidR="00ED562A">
        <w:rPr>
          <w:rFonts w:ascii="Arial" w:hAnsi="Arial" w:cs="Arial"/>
          <w:b/>
          <w:bCs/>
          <w:color w:val="000000"/>
          <w:sz w:val="40"/>
          <w:szCs w:val="40"/>
        </w:rPr>
        <w:t>ndő</w:t>
      </w:r>
      <w:r w:rsidR="00503218" w:rsidRPr="00D65BD6">
        <w:rPr>
          <w:rFonts w:ascii="Arial" w:hAnsi="Arial" w:cs="Arial"/>
          <w:b/>
          <w:bCs/>
          <w:color w:val="000000"/>
          <w:sz w:val="40"/>
          <w:szCs w:val="40"/>
        </w:rPr>
        <w:t xml:space="preserve"> informatikai rendszerek </w:t>
      </w:r>
      <w:r w:rsidR="00B74240">
        <w:rPr>
          <w:rFonts w:ascii="Arial" w:hAnsi="Arial" w:cs="Arial"/>
          <w:b/>
          <w:bCs/>
          <w:color w:val="000000"/>
          <w:sz w:val="40"/>
          <w:szCs w:val="40"/>
        </w:rPr>
        <w:t xml:space="preserve">előzetes </w:t>
      </w:r>
      <w:r w:rsidR="00503218" w:rsidRPr="00D65BD6">
        <w:rPr>
          <w:rFonts w:ascii="Arial" w:hAnsi="Arial" w:cs="Arial"/>
          <w:b/>
          <w:bCs/>
          <w:color w:val="000000"/>
          <w:sz w:val="40"/>
          <w:szCs w:val="40"/>
        </w:rPr>
        <w:t>besorolásához</w:t>
      </w:r>
    </w:p>
    <w:bookmarkEnd w:id="0"/>
    <w:p w14:paraId="2D0D460B" w14:textId="77777777" w:rsidR="00503218" w:rsidRPr="00D65BD6" w:rsidRDefault="00503218" w:rsidP="00503218">
      <w:pPr>
        <w:rPr>
          <w:rFonts w:ascii="Helvetica Neue" w:hAnsi="Helvetica Neue"/>
          <w:b/>
          <w:bCs/>
          <w:color w:val="000000"/>
          <w:sz w:val="27"/>
          <w:szCs w:val="27"/>
        </w:rPr>
      </w:pPr>
      <w:r w:rsidRPr="00D65BD6">
        <w:rPr>
          <w:rFonts w:ascii="Helvetica Neue" w:hAnsi="Helvetica Neue"/>
          <w:b/>
          <w:bCs/>
          <w:color w:val="000000"/>
          <w:sz w:val="27"/>
          <w:szCs w:val="27"/>
        </w:rPr>
        <w:br w:type="page"/>
      </w:r>
    </w:p>
    <w:p w14:paraId="7144CD2A" w14:textId="77777777" w:rsidR="00503218" w:rsidRPr="00D65BD6" w:rsidRDefault="00503218" w:rsidP="00503218">
      <w:pPr>
        <w:spacing w:before="360" w:after="240"/>
        <w:rPr>
          <w:rFonts w:asciiTheme="minorHAnsi" w:hAnsiTheme="minorHAnsi" w:cstheme="minorHAnsi"/>
          <w:b/>
          <w:smallCaps/>
        </w:rPr>
      </w:pPr>
      <w:r w:rsidRPr="00D65BD6">
        <w:rPr>
          <w:rFonts w:asciiTheme="minorHAnsi" w:hAnsiTheme="minorHAnsi" w:cstheme="minorHAnsi"/>
          <w:b/>
          <w:smallCaps/>
        </w:rPr>
        <w:lastRenderedPageBreak/>
        <w:t>A Dokumentum Adatai</w:t>
      </w:r>
    </w:p>
    <w:tbl>
      <w:tblPr>
        <w:tblW w:w="8121" w:type="dxa"/>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6" w:type="dxa"/>
          <w:right w:w="96" w:type="dxa"/>
        </w:tblCellMar>
        <w:tblLook w:val="0000" w:firstRow="0" w:lastRow="0" w:firstColumn="0" w:lastColumn="0" w:noHBand="0" w:noVBand="0"/>
      </w:tblPr>
      <w:tblGrid>
        <w:gridCol w:w="2160"/>
        <w:gridCol w:w="5961"/>
      </w:tblGrid>
      <w:tr w:rsidR="00503218" w:rsidRPr="00D65BD6" w14:paraId="57C43830" w14:textId="77777777" w:rsidTr="00C67884">
        <w:trPr>
          <w:cantSplit/>
          <w:trHeight w:val="504"/>
        </w:trPr>
        <w:tc>
          <w:tcPr>
            <w:tcW w:w="2160" w:type="dxa"/>
            <w:shd w:val="clear" w:color="auto" w:fill="C0C0C0"/>
          </w:tcPr>
          <w:p w14:paraId="777FB4CC" w14:textId="77777777" w:rsidR="00503218" w:rsidRPr="00D65BD6" w:rsidRDefault="00503218" w:rsidP="00C67884">
            <w:pPr>
              <w:pStyle w:val="TableText"/>
              <w:rPr>
                <w:rFonts w:asciiTheme="minorHAnsi" w:hAnsiTheme="minorHAnsi" w:cstheme="minorHAnsi"/>
                <w:b/>
                <w:lang w:val="hu-HU"/>
              </w:rPr>
            </w:pPr>
            <w:r w:rsidRPr="00D65BD6">
              <w:rPr>
                <w:rFonts w:asciiTheme="minorHAnsi" w:hAnsiTheme="minorHAnsi" w:cstheme="minorHAnsi"/>
                <w:b/>
                <w:lang w:val="hu-HU"/>
              </w:rPr>
              <w:t>Cím</w:t>
            </w:r>
          </w:p>
        </w:tc>
        <w:tc>
          <w:tcPr>
            <w:tcW w:w="5961" w:type="dxa"/>
            <w:vAlign w:val="center"/>
          </w:tcPr>
          <w:p w14:paraId="7947EFB7" w14:textId="3073F609" w:rsidR="00503218" w:rsidRPr="00D65BD6" w:rsidRDefault="00C439BE" w:rsidP="00C67884">
            <w:pPr>
              <w:pStyle w:val="TableText"/>
              <w:rPr>
                <w:rFonts w:asciiTheme="minorHAnsi" w:hAnsiTheme="minorHAnsi" w:cstheme="minorHAnsi"/>
                <w:lang w:val="hu-HU"/>
              </w:rPr>
            </w:pPr>
            <w:r w:rsidRPr="00D65BD6">
              <w:rPr>
                <w:rFonts w:asciiTheme="minorHAnsi" w:hAnsiTheme="minorHAnsi" w:cstheme="minorHAnsi"/>
                <w:lang w:val="hu-HU"/>
              </w:rPr>
              <w:t>Biztonsági osztályba sorolási útmutató DIMOP pályázat keretében fejleszte</w:t>
            </w:r>
            <w:r w:rsidR="00B74240">
              <w:rPr>
                <w:rFonts w:asciiTheme="minorHAnsi" w:hAnsiTheme="minorHAnsi" w:cstheme="minorHAnsi"/>
                <w:lang w:val="hu-HU"/>
              </w:rPr>
              <w:t>ndő</w:t>
            </w:r>
            <w:r w:rsidRPr="00D65BD6">
              <w:rPr>
                <w:rFonts w:asciiTheme="minorHAnsi" w:hAnsiTheme="minorHAnsi" w:cstheme="minorHAnsi"/>
                <w:lang w:val="hu-HU"/>
              </w:rPr>
              <w:t xml:space="preserve"> informatikai rendszerek </w:t>
            </w:r>
            <w:r w:rsidR="00B74240">
              <w:rPr>
                <w:rFonts w:asciiTheme="minorHAnsi" w:hAnsiTheme="minorHAnsi" w:cstheme="minorHAnsi"/>
                <w:lang w:val="hu-HU"/>
              </w:rPr>
              <w:t xml:space="preserve">előzetes </w:t>
            </w:r>
            <w:r w:rsidRPr="00D65BD6">
              <w:rPr>
                <w:rFonts w:asciiTheme="minorHAnsi" w:hAnsiTheme="minorHAnsi" w:cstheme="minorHAnsi"/>
                <w:lang w:val="hu-HU"/>
              </w:rPr>
              <w:t xml:space="preserve">besorolásához </w:t>
            </w:r>
          </w:p>
        </w:tc>
      </w:tr>
      <w:tr w:rsidR="00503218" w:rsidRPr="00D65BD6" w14:paraId="347747A2" w14:textId="77777777" w:rsidTr="00C67884">
        <w:trPr>
          <w:cantSplit/>
        </w:trPr>
        <w:tc>
          <w:tcPr>
            <w:tcW w:w="2160" w:type="dxa"/>
            <w:shd w:val="clear" w:color="auto" w:fill="C0C0C0"/>
          </w:tcPr>
          <w:p w14:paraId="1DAC7B42" w14:textId="77777777" w:rsidR="00503218" w:rsidRPr="00D65BD6" w:rsidRDefault="00503218" w:rsidP="00C67884">
            <w:pPr>
              <w:pStyle w:val="TableText"/>
              <w:rPr>
                <w:rFonts w:asciiTheme="minorHAnsi" w:hAnsiTheme="minorHAnsi" w:cstheme="minorHAnsi"/>
                <w:b/>
                <w:lang w:val="hu-HU"/>
              </w:rPr>
            </w:pPr>
            <w:r w:rsidRPr="00D65BD6">
              <w:rPr>
                <w:rFonts w:asciiTheme="minorHAnsi" w:hAnsiTheme="minorHAnsi" w:cstheme="minorHAnsi"/>
                <w:b/>
                <w:lang w:val="hu-HU"/>
              </w:rPr>
              <w:t>Leírás</w:t>
            </w:r>
          </w:p>
        </w:tc>
        <w:tc>
          <w:tcPr>
            <w:tcW w:w="5961" w:type="dxa"/>
            <w:vAlign w:val="center"/>
          </w:tcPr>
          <w:p w14:paraId="7D014314" w14:textId="1668BBDE" w:rsidR="00C720C3" w:rsidRPr="00D65BD6" w:rsidRDefault="00244492" w:rsidP="00C720C3">
            <w:pPr>
              <w:pStyle w:val="TableText"/>
              <w:jc w:val="left"/>
              <w:rPr>
                <w:rFonts w:asciiTheme="minorHAnsi" w:hAnsiTheme="minorHAnsi" w:cstheme="minorHAnsi"/>
                <w:lang w:val="hu-HU"/>
              </w:rPr>
            </w:pPr>
            <w:r w:rsidRPr="00D65BD6">
              <w:rPr>
                <w:rFonts w:asciiTheme="minorHAnsi" w:hAnsiTheme="minorHAnsi" w:cstheme="minorHAnsi"/>
                <w:lang w:val="hu-HU"/>
              </w:rPr>
              <w:t>Jelen dokumentum támogatást kíván adni az</w:t>
            </w:r>
            <w:r w:rsidR="00503218" w:rsidRPr="00D65BD6">
              <w:rPr>
                <w:rFonts w:asciiTheme="minorHAnsi" w:hAnsiTheme="minorHAnsi" w:cstheme="minorHAnsi"/>
                <w:lang w:val="hu-HU"/>
              </w:rPr>
              <w:t xml:space="preserve"> </w:t>
            </w:r>
            <w:r w:rsidRPr="00D65BD6">
              <w:rPr>
                <w:rFonts w:asciiTheme="minorHAnsi" w:hAnsiTheme="minorHAnsi" w:cstheme="minorHAnsi"/>
                <w:lang w:val="hu-HU"/>
              </w:rPr>
              <w:t xml:space="preserve">elektronikus </w:t>
            </w:r>
            <w:r w:rsidR="00503218" w:rsidRPr="00D65BD6">
              <w:rPr>
                <w:rFonts w:asciiTheme="minorHAnsi" w:hAnsiTheme="minorHAnsi" w:cstheme="minorHAnsi"/>
                <w:lang w:val="hu-HU"/>
              </w:rPr>
              <w:t xml:space="preserve">információs </w:t>
            </w:r>
            <w:r w:rsidRPr="00D65BD6">
              <w:rPr>
                <w:rFonts w:asciiTheme="minorHAnsi" w:hAnsiTheme="minorHAnsi" w:cstheme="minorHAnsi"/>
                <w:lang w:val="hu-HU"/>
              </w:rPr>
              <w:t>r</w:t>
            </w:r>
            <w:r w:rsidR="00503218" w:rsidRPr="00D65BD6">
              <w:rPr>
                <w:rFonts w:asciiTheme="minorHAnsi" w:hAnsiTheme="minorHAnsi" w:cstheme="minorHAnsi"/>
                <w:lang w:val="hu-HU"/>
              </w:rPr>
              <w:t>endszer</w:t>
            </w:r>
            <w:r w:rsidR="00C720C3">
              <w:rPr>
                <w:rFonts w:asciiTheme="minorHAnsi" w:hAnsiTheme="minorHAnsi" w:cstheme="minorHAnsi"/>
                <w:lang w:val="hu-HU"/>
              </w:rPr>
              <w:t xml:space="preserve"> bevezetési projektek</w:t>
            </w:r>
            <w:r w:rsidR="00D50F84" w:rsidRPr="00D65BD6">
              <w:rPr>
                <w:rFonts w:asciiTheme="minorHAnsi" w:hAnsiTheme="minorHAnsi" w:cstheme="minorHAnsi"/>
                <w:lang w:val="hu-HU"/>
              </w:rPr>
              <w:t xml:space="preserve"> </w:t>
            </w:r>
            <w:r w:rsidR="00C720C3">
              <w:rPr>
                <w:rFonts w:asciiTheme="minorHAnsi" w:hAnsiTheme="minorHAnsi" w:cstheme="minorHAnsi"/>
                <w:lang w:val="hu-HU"/>
              </w:rPr>
              <w:t>során szállítandó rendszerek előzetes, azaz a követelmények specifikálási fázisában történő biztonsági osztályba sorolásához.</w:t>
            </w:r>
          </w:p>
        </w:tc>
      </w:tr>
      <w:tr w:rsidR="00503218" w:rsidRPr="00D65BD6" w14:paraId="5E380DAF" w14:textId="77777777" w:rsidTr="00C67884">
        <w:trPr>
          <w:cantSplit/>
        </w:trPr>
        <w:tc>
          <w:tcPr>
            <w:tcW w:w="2160" w:type="dxa"/>
            <w:shd w:val="clear" w:color="auto" w:fill="C0C0C0"/>
          </w:tcPr>
          <w:p w14:paraId="5F03E4F2" w14:textId="77777777" w:rsidR="00503218" w:rsidRPr="00D65BD6" w:rsidRDefault="00503218" w:rsidP="00C67884">
            <w:pPr>
              <w:pStyle w:val="TableText"/>
              <w:rPr>
                <w:rFonts w:asciiTheme="minorHAnsi" w:hAnsiTheme="minorHAnsi" w:cstheme="minorHAnsi"/>
                <w:b/>
                <w:lang w:val="hu-HU"/>
              </w:rPr>
            </w:pPr>
            <w:r w:rsidRPr="00D65BD6">
              <w:rPr>
                <w:rFonts w:asciiTheme="minorHAnsi" w:hAnsiTheme="minorHAnsi" w:cstheme="minorHAnsi"/>
                <w:b/>
                <w:lang w:val="hu-HU"/>
              </w:rPr>
              <w:t>Biztonsági besorolás</w:t>
            </w:r>
          </w:p>
        </w:tc>
        <w:tc>
          <w:tcPr>
            <w:tcW w:w="5961" w:type="dxa"/>
            <w:vAlign w:val="center"/>
          </w:tcPr>
          <w:p w14:paraId="3373029D" w14:textId="28342E69" w:rsidR="00503218" w:rsidRPr="00D65BD6" w:rsidRDefault="00332A5E" w:rsidP="00C67884">
            <w:pPr>
              <w:pStyle w:val="TableText"/>
              <w:rPr>
                <w:rFonts w:asciiTheme="minorHAnsi" w:hAnsiTheme="minorHAnsi" w:cstheme="minorHAnsi"/>
                <w:lang w:val="hu-HU"/>
              </w:rPr>
            </w:pPr>
            <w:r w:rsidRPr="00EC2A1A">
              <w:rPr>
                <w:rFonts w:asciiTheme="minorHAnsi" w:hAnsiTheme="minorHAnsi" w:cstheme="minorHAnsi"/>
                <w:lang w:val="hu-HU"/>
              </w:rPr>
              <w:t>Nyilvános</w:t>
            </w:r>
          </w:p>
        </w:tc>
      </w:tr>
    </w:tbl>
    <w:p w14:paraId="2771EBCF" w14:textId="77777777" w:rsidR="00503218" w:rsidRPr="00D65BD6" w:rsidRDefault="00503218" w:rsidP="00503218">
      <w:pPr>
        <w:spacing w:before="360" w:after="240"/>
        <w:rPr>
          <w:rFonts w:asciiTheme="minorHAnsi" w:hAnsiTheme="minorHAnsi" w:cstheme="minorHAnsi"/>
          <w:b/>
          <w:smallCaps/>
        </w:rPr>
      </w:pPr>
      <w:r w:rsidRPr="00D65BD6">
        <w:rPr>
          <w:rFonts w:asciiTheme="minorHAnsi" w:hAnsiTheme="minorHAnsi" w:cstheme="minorHAnsi"/>
          <w:b/>
          <w:smallCaps/>
        </w:rPr>
        <w:t>Változatok</w:t>
      </w:r>
    </w:p>
    <w:tbl>
      <w:tblPr>
        <w:tblW w:w="8121" w:type="dxa"/>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6" w:type="dxa"/>
          <w:right w:w="96" w:type="dxa"/>
        </w:tblCellMar>
        <w:tblLook w:val="0000" w:firstRow="0" w:lastRow="0" w:firstColumn="0" w:lastColumn="0" w:noHBand="0" w:noVBand="0"/>
      </w:tblPr>
      <w:tblGrid>
        <w:gridCol w:w="2127"/>
        <w:gridCol w:w="1458"/>
        <w:gridCol w:w="1984"/>
        <w:gridCol w:w="993"/>
        <w:gridCol w:w="1559"/>
      </w:tblGrid>
      <w:tr w:rsidR="00503218" w:rsidRPr="00D65BD6" w14:paraId="1A0E9F51" w14:textId="77777777" w:rsidTr="00C67884">
        <w:trPr>
          <w:cantSplit/>
          <w:trHeight w:hRule="exact" w:val="346"/>
        </w:trPr>
        <w:tc>
          <w:tcPr>
            <w:tcW w:w="2127" w:type="dxa"/>
            <w:shd w:val="clear" w:color="auto" w:fill="C0C0C0"/>
            <w:vAlign w:val="center"/>
          </w:tcPr>
          <w:p w14:paraId="587039FE" w14:textId="77777777" w:rsidR="00503218" w:rsidRPr="00D65BD6" w:rsidRDefault="00503218" w:rsidP="00C67884">
            <w:pPr>
              <w:pStyle w:val="TableText"/>
              <w:rPr>
                <w:rFonts w:asciiTheme="minorHAnsi" w:hAnsiTheme="minorHAnsi" w:cstheme="minorHAnsi"/>
                <w:b/>
                <w:lang w:val="hu-HU"/>
              </w:rPr>
            </w:pPr>
            <w:r w:rsidRPr="00D65BD6">
              <w:rPr>
                <w:rFonts w:asciiTheme="minorHAnsi" w:hAnsiTheme="minorHAnsi" w:cstheme="minorHAnsi"/>
                <w:b/>
                <w:lang w:val="hu-HU"/>
              </w:rPr>
              <w:t>Kiadás dátuma</w:t>
            </w:r>
          </w:p>
        </w:tc>
        <w:tc>
          <w:tcPr>
            <w:tcW w:w="1458" w:type="dxa"/>
            <w:shd w:val="clear" w:color="auto" w:fill="C0C0C0"/>
          </w:tcPr>
          <w:p w14:paraId="646D9E49" w14:textId="77777777" w:rsidR="00503218" w:rsidRPr="00D65BD6" w:rsidRDefault="00503218" w:rsidP="00C67884">
            <w:pPr>
              <w:pStyle w:val="TableText"/>
              <w:rPr>
                <w:rFonts w:asciiTheme="minorHAnsi" w:hAnsiTheme="minorHAnsi" w:cstheme="minorHAnsi"/>
                <w:b/>
                <w:lang w:val="hu-HU"/>
              </w:rPr>
            </w:pPr>
            <w:r w:rsidRPr="00D65BD6">
              <w:rPr>
                <w:rFonts w:asciiTheme="minorHAnsi" w:hAnsiTheme="minorHAnsi" w:cstheme="minorHAnsi"/>
                <w:b/>
                <w:lang w:val="hu-HU"/>
              </w:rPr>
              <w:t>Szerző</w:t>
            </w:r>
          </w:p>
        </w:tc>
        <w:tc>
          <w:tcPr>
            <w:tcW w:w="1984" w:type="dxa"/>
            <w:shd w:val="clear" w:color="auto" w:fill="C0C0C0"/>
          </w:tcPr>
          <w:p w14:paraId="5C5E4EA1" w14:textId="77777777" w:rsidR="00503218" w:rsidRPr="00D65BD6" w:rsidRDefault="00503218" w:rsidP="00C67884">
            <w:pPr>
              <w:pStyle w:val="TableText"/>
              <w:rPr>
                <w:rFonts w:asciiTheme="minorHAnsi" w:hAnsiTheme="minorHAnsi" w:cstheme="minorHAnsi"/>
                <w:b/>
                <w:lang w:val="hu-HU"/>
              </w:rPr>
            </w:pPr>
            <w:r w:rsidRPr="00D65BD6">
              <w:rPr>
                <w:rFonts w:asciiTheme="minorHAnsi" w:hAnsiTheme="minorHAnsi" w:cstheme="minorHAnsi"/>
                <w:b/>
                <w:lang w:val="hu-HU"/>
              </w:rPr>
              <w:t>Cégnév</w:t>
            </w:r>
          </w:p>
        </w:tc>
        <w:tc>
          <w:tcPr>
            <w:tcW w:w="993" w:type="dxa"/>
            <w:shd w:val="clear" w:color="auto" w:fill="C0C0C0"/>
            <w:vAlign w:val="center"/>
          </w:tcPr>
          <w:p w14:paraId="28FB56D9" w14:textId="77777777" w:rsidR="00503218" w:rsidRPr="00D65BD6" w:rsidRDefault="00503218" w:rsidP="00C67884">
            <w:pPr>
              <w:pStyle w:val="TableText"/>
              <w:rPr>
                <w:rFonts w:asciiTheme="minorHAnsi" w:hAnsiTheme="minorHAnsi" w:cstheme="minorHAnsi"/>
                <w:b/>
                <w:lang w:val="hu-HU"/>
              </w:rPr>
            </w:pPr>
            <w:r w:rsidRPr="00D65BD6">
              <w:rPr>
                <w:rFonts w:asciiTheme="minorHAnsi" w:hAnsiTheme="minorHAnsi" w:cstheme="minorHAnsi"/>
                <w:b/>
                <w:lang w:val="hu-HU"/>
              </w:rPr>
              <w:t>Verzió</w:t>
            </w:r>
          </w:p>
        </w:tc>
        <w:tc>
          <w:tcPr>
            <w:tcW w:w="1559" w:type="dxa"/>
            <w:shd w:val="clear" w:color="auto" w:fill="C0C0C0"/>
            <w:vAlign w:val="center"/>
          </w:tcPr>
          <w:p w14:paraId="4D3F8CF0" w14:textId="77777777" w:rsidR="00503218" w:rsidRPr="00D65BD6" w:rsidRDefault="00503218" w:rsidP="00C67884">
            <w:pPr>
              <w:pStyle w:val="TableText"/>
              <w:rPr>
                <w:rFonts w:asciiTheme="minorHAnsi" w:hAnsiTheme="minorHAnsi" w:cstheme="minorHAnsi"/>
                <w:b/>
                <w:lang w:val="hu-HU"/>
              </w:rPr>
            </w:pPr>
            <w:r w:rsidRPr="00D65BD6">
              <w:rPr>
                <w:rFonts w:asciiTheme="minorHAnsi" w:hAnsiTheme="minorHAnsi" w:cstheme="minorHAnsi"/>
                <w:b/>
                <w:lang w:val="hu-HU"/>
              </w:rPr>
              <w:t>Leírás</w:t>
            </w:r>
          </w:p>
        </w:tc>
      </w:tr>
      <w:tr w:rsidR="00503218" w:rsidRPr="00D65BD6" w14:paraId="20A541AA" w14:textId="77777777" w:rsidTr="00C67884">
        <w:trPr>
          <w:cantSplit/>
          <w:trHeight w:val="284"/>
        </w:trPr>
        <w:tc>
          <w:tcPr>
            <w:tcW w:w="2127" w:type="dxa"/>
            <w:vAlign w:val="center"/>
          </w:tcPr>
          <w:p w14:paraId="3E02AEE2" w14:textId="77777777" w:rsidR="00503218" w:rsidRPr="00D65BD6" w:rsidRDefault="00503218" w:rsidP="00C67884">
            <w:pPr>
              <w:pStyle w:val="TableText"/>
              <w:jc w:val="center"/>
              <w:rPr>
                <w:rFonts w:asciiTheme="minorHAnsi" w:hAnsiTheme="minorHAnsi" w:cstheme="minorHAnsi"/>
                <w:sz w:val="16"/>
                <w:szCs w:val="16"/>
                <w:lang w:val="hu-HU"/>
              </w:rPr>
            </w:pPr>
          </w:p>
        </w:tc>
        <w:tc>
          <w:tcPr>
            <w:tcW w:w="1458" w:type="dxa"/>
            <w:vAlign w:val="center"/>
          </w:tcPr>
          <w:p w14:paraId="07FBE062" w14:textId="77777777" w:rsidR="00503218" w:rsidRPr="00D65BD6" w:rsidRDefault="00503218" w:rsidP="00C67884">
            <w:pPr>
              <w:pStyle w:val="TableText"/>
              <w:rPr>
                <w:rFonts w:asciiTheme="minorHAnsi" w:hAnsiTheme="minorHAnsi" w:cstheme="minorHAnsi"/>
                <w:sz w:val="16"/>
                <w:szCs w:val="16"/>
                <w:lang w:val="hu-HU"/>
              </w:rPr>
            </w:pPr>
          </w:p>
        </w:tc>
        <w:tc>
          <w:tcPr>
            <w:tcW w:w="1984" w:type="dxa"/>
            <w:vAlign w:val="center"/>
          </w:tcPr>
          <w:p w14:paraId="64DBBFA1" w14:textId="77777777" w:rsidR="00503218" w:rsidRPr="00D65BD6" w:rsidRDefault="00503218" w:rsidP="00C67884">
            <w:pPr>
              <w:pStyle w:val="TableText"/>
              <w:rPr>
                <w:rFonts w:asciiTheme="minorHAnsi" w:hAnsiTheme="minorHAnsi" w:cstheme="minorHAnsi"/>
                <w:sz w:val="16"/>
                <w:szCs w:val="16"/>
                <w:lang w:val="hu-HU"/>
              </w:rPr>
            </w:pPr>
          </w:p>
        </w:tc>
        <w:tc>
          <w:tcPr>
            <w:tcW w:w="993" w:type="dxa"/>
            <w:vAlign w:val="center"/>
          </w:tcPr>
          <w:p w14:paraId="5D536DE3" w14:textId="77777777" w:rsidR="00503218" w:rsidRPr="00D65BD6" w:rsidRDefault="00503218" w:rsidP="00C67884">
            <w:pPr>
              <w:pStyle w:val="TableText"/>
              <w:jc w:val="center"/>
              <w:rPr>
                <w:rFonts w:asciiTheme="minorHAnsi" w:hAnsiTheme="minorHAnsi" w:cstheme="minorHAnsi"/>
                <w:sz w:val="16"/>
                <w:szCs w:val="16"/>
                <w:lang w:val="hu-HU"/>
              </w:rPr>
            </w:pPr>
          </w:p>
        </w:tc>
        <w:tc>
          <w:tcPr>
            <w:tcW w:w="1559" w:type="dxa"/>
            <w:vAlign w:val="center"/>
          </w:tcPr>
          <w:p w14:paraId="64AB749B" w14:textId="77777777" w:rsidR="00503218" w:rsidRPr="00D65BD6" w:rsidRDefault="00503218" w:rsidP="00C67884">
            <w:pPr>
              <w:pStyle w:val="TableText"/>
              <w:rPr>
                <w:rFonts w:asciiTheme="minorHAnsi" w:hAnsiTheme="minorHAnsi" w:cstheme="minorHAnsi"/>
                <w:sz w:val="16"/>
                <w:szCs w:val="16"/>
                <w:lang w:val="hu-HU"/>
              </w:rPr>
            </w:pPr>
          </w:p>
        </w:tc>
      </w:tr>
    </w:tbl>
    <w:p w14:paraId="7ED4EB0C" w14:textId="77777777" w:rsidR="00503218" w:rsidRPr="00D65BD6" w:rsidRDefault="00503218" w:rsidP="00503218">
      <w:pPr>
        <w:ind w:right="850"/>
      </w:pPr>
    </w:p>
    <w:p w14:paraId="494A38D3" w14:textId="77777777" w:rsidR="00503218" w:rsidRPr="00D65BD6" w:rsidRDefault="00503218" w:rsidP="00503218">
      <w:pPr>
        <w:ind w:right="850"/>
        <w:rPr>
          <w:b/>
        </w:rPr>
      </w:pPr>
      <w:r w:rsidRPr="00D65BD6">
        <w:rPr>
          <w:b/>
          <w:bCs/>
        </w:rPr>
        <w:t>Tartalom jegyzék</w:t>
      </w:r>
    </w:p>
    <w:p w14:paraId="5E5F15B2" w14:textId="5D0B5778" w:rsidR="00BC581C" w:rsidRDefault="00503218" w:rsidP="001C1946">
      <w:pPr>
        <w:pStyle w:val="TJ1"/>
        <w:rPr>
          <w:rFonts w:asciiTheme="minorHAnsi" w:eastAsiaTheme="minorEastAsia" w:hAnsiTheme="minorHAnsi" w:cstheme="minorBidi"/>
          <w:noProof/>
          <w:lang w:eastAsia="hu-HU"/>
        </w:rPr>
      </w:pPr>
      <w:r w:rsidRPr="00D65BD6">
        <w:fldChar w:fldCharType="begin"/>
      </w:r>
      <w:r w:rsidRPr="00D65BD6">
        <w:instrText xml:space="preserve"> TOC  \* MERGEFORMAT </w:instrText>
      </w:r>
      <w:r w:rsidRPr="00D65BD6">
        <w:fldChar w:fldCharType="separate"/>
      </w:r>
      <w:r w:rsidR="00BC581C">
        <w:rPr>
          <w:noProof/>
        </w:rPr>
        <w:t>Használt fogalmak</w:t>
      </w:r>
      <w:r w:rsidR="00BC581C">
        <w:rPr>
          <w:noProof/>
        </w:rPr>
        <w:tab/>
      </w:r>
      <w:r w:rsidR="00BC581C">
        <w:rPr>
          <w:noProof/>
        </w:rPr>
        <w:fldChar w:fldCharType="begin"/>
      </w:r>
      <w:r w:rsidR="00BC581C">
        <w:rPr>
          <w:noProof/>
        </w:rPr>
        <w:instrText xml:space="preserve"> PAGEREF _Toc128816714 \h </w:instrText>
      </w:r>
      <w:r w:rsidR="00BC581C">
        <w:rPr>
          <w:noProof/>
        </w:rPr>
      </w:r>
      <w:r w:rsidR="00BC581C">
        <w:rPr>
          <w:noProof/>
        </w:rPr>
        <w:fldChar w:fldCharType="separate"/>
      </w:r>
      <w:r w:rsidR="00BC581C">
        <w:rPr>
          <w:noProof/>
        </w:rPr>
        <w:t>3</w:t>
      </w:r>
      <w:r w:rsidR="00BC581C">
        <w:rPr>
          <w:noProof/>
        </w:rPr>
        <w:fldChar w:fldCharType="end"/>
      </w:r>
    </w:p>
    <w:p w14:paraId="00D03F7C" w14:textId="7A52E797" w:rsidR="00BC581C" w:rsidRDefault="00BC581C" w:rsidP="001C1946">
      <w:pPr>
        <w:pStyle w:val="TJ1"/>
        <w:rPr>
          <w:rFonts w:asciiTheme="minorHAnsi" w:eastAsiaTheme="minorEastAsia" w:hAnsiTheme="minorHAnsi" w:cstheme="minorBidi"/>
          <w:noProof/>
          <w:lang w:eastAsia="hu-HU"/>
        </w:rPr>
      </w:pPr>
      <w:r>
        <w:rPr>
          <w:noProof/>
        </w:rPr>
        <w:t>Bevezetés</w:t>
      </w:r>
      <w:r>
        <w:rPr>
          <w:noProof/>
        </w:rPr>
        <w:tab/>
      </w:r>
      <w:r>
        <w:rPr>
          <w:noProof/>
        </w:rPr>
        <w:fldChar w:fldCharType="begin"/>
      </w:r>
      <w:r>
        <w:rPr>
          <w:noProof/>
        </w:rPr>
        <w:instrText xml:space="preserve"> PAGEREF _Toc128816715 \h </w:instrText>
      </w:r>
      <w:r>
        <w:rPr>
          <w:noProof/>
        </w:rPr>
      </w:r>
      <w:r>
        <w:rPr>
          <w:noProof/>
        </w:rPr>
        <w:fldChar w:fldCharType="separate"/>
      </w:r>
      <w:r>
        <w:rPr>
          <w:noProof/>
        </w:rPr>
        <w:t>4</w:t>
      </w:r>
      <w:r>
        <w:rPr>
          <w:noProof/>
        </w:rPr>
        <w:fldChar w:fldCharType="end"/>
      </w:r>
    </w:p>
    <w:p w14:paraId="50202826" w14:textId="190C5568" w:rsidR="00BC581C" w:rsidRDefault="00BC581C" w:rsidP="001C1946">
      <w:pPr>
        <w:pStyle w:val="TJ1"/>
        <w:rPr>
          <w:rFonts w:asciiTheme="minorHAnsi" w:eastAsiaTheme="minorEastAsia" w:hAnsiTheme="minorHAnsi" w:cstheme="minorBidi"/>
          <w:noProof/>
          <w:lang w:eastAsia="hu-HU"/>
        </w:rPr>
      </w:pPr>
      <w:r>
        <w:rPr>
          <w:noProof/>
        </w:rPr>
        <w:t>A dokumentum célja</w:t>
      </w:r>
      <w:r>
        <w:rPr>
          <w:noProof/>
        </w:rPr>
        <w:tab/>
      </w:r>
      <w:r>
        <w:rPr>
          <w:noProof/>
        </w:rPr>
        <w:fldChar w:fldCharType="begin"/>
      </w:r>
      <w:r>
        <w:rPr>
          <w:noProof/>
        </w:rPr>
        <w:instrText xml:space="preserve"> PAGEREF _Toc128816716 \h </w:instrText>
      </w:r>
      <w:r>
        <w:rPr>
          <w:noProof/>
        </w:rPr>
      </w:r>
      <w:r>
        <w:rPr>
          <w:noProof/>
        </w:rPr>
        <w:fldChar w:fldCharType="separate"/>
      </w:r>
      <w:r>
        <w:rPr>
          <w:noProof/>
        </w:rPr>
        <w:t>4</w:t>
      </w:r>
      <w:r>
        <w:rPr>
          <w:noProof/>
        </w:rPr>
        <w:fldChar w:fldCharType="end"/>
      </w:r>
    </w:p>
    <w:p w14:paraId="7CB12B2B" w14:textId="44FA2C7C" w:rsidR="00BC581C" w:rsidRDefault="00BC581C" w:rsidP="001C1946">
      <w:pPr>
        <w:pStyle w:val="TJ1"/>
        <w:rPr>
          <w:rFonts w:asciiTheme="minorHAnsi" w:eastAsiaTheme="minorEastAsia" w:hAnsiTheme="minorHAnsi" w:cstheme="minorBidi"/>
          <w:noProof/>
          <w:lang w:eastAsia="hu-HU"/>
        </w:rPr>
      </w:pPr>
      <w:r>
        <w:rPr>
          <w:noProof/>
        </w:rPr>
        <w:t>Az előzetes biztonsági osztályba sorolás folyamata</w:t>
      </w:r>
      <w:r>
        <w:rPr>
          <w:noProof/>
        </w:rPr>
        <w:tab/>
      </w:r>
      <w:r>
        <w:rPr>
          <w:noProof/>
        </w:rPr>
        <w:fldChar w:fldCharType="begin"/>
      </w:r>
      <w:r>
        <w:rPr>
          <w:noProof/>
        </w:rPr>
        <w:instrText xml:space="preserve"> PAGEREF _Toc128816717 \h </w:instrText>
      </w:r>
      <w:r>
        <w:rPr>
          <w:noProof/>
        </w:rPr>
      </w:r>
      <w:r>
        <w:rPr>
          <w:noProof/>
        </w:rPr>
        <w:fldChar w:fldCharType="separate"/>
      </w:r>
      <w:r>
        <w:rPr>
          <w:noProof/>
        </w:rPr>
        <w:t>4</w:t>
      </w:r>
      <w:r>
        <w:rPr>
          <w:noProof/>
        </w:rPr>
        <w:fldChar w:fldCharType="end"/>
      </w:r>
    </w:p>
    <w:p w14:paraId="33D21578" w14:textId="6087F9F7" w:rsidR="00BC581C" w:rsidRDefault="00BC581C">
      <w:pPr>
        <w:pStyle w:val="TJ2"/>
        <w:tabs>
          <w:tab w:val="right" w:leader="dot" w:pos="9062"/>
        </w:tabs>
        <w:rPr>
          <w:rFonts w:asciiTheme="minorHAnsi" w:eastAsiaTheme="minorEastAsia" w:hAnsiTheme="minorHAnsi" w:cstheme="minorBidi"/>
          <w:noProof/>
          <w:lang w:eastAsia="hu-HU"/>
        </w:rPr>
      </w:pPr>
      <w:r>
        <w:rPr>
          <w:noProof/>
        </w:rPr>
        <w:t>Az adatok azonosítása, adatvagyon felmérése</w:t>
      </w:r>
      <w:r>
        <w:rPr>
          <w:noProof/>
        </w:rPr>
        <w:tab/>
      </w:r>
      <w:r>
        <w:rPr>
          <w:noProof/>
        </w:rPr>
        <w:fldChar w:fldCharType="begin"/>
      </w:r>
      <w:r>
        <w:rPr>
          <w:noProof/>
        </w:rPr>
        <w:instrText xml:space="preserve"> PAGEREF _Toc128816718 \h </w:instrText>
      </w:r>
      <w:r>
        <w:rPr>
          <w:noProof/>
        </w:rPr>
      </w:r>
      <w:r>
        <w:rPr>
          <w:noProof/>
        </w:rPr>
        <w:fldChar w:fldCharType="separate"/>
      </w:r>
      <w:r>
        <w:rPr>
          <w:noProof/>
        </w:rPr>
        <w:t>5</w:t>
      </w:r>
      <w:r>
        <w:rPr>
          <w:noProof/>
        </w:rPr>
        <w:fldChar w:fldCharType="end"/>
      </w:r>
    </w:p>
    <w:p w14:paraId="1D8E7862" w14:textId="50B39FC5" w:rsidR="00BC581C" w:rsidRDefault="00BC581C">
      <w:pPr>
        <w:pStyle w:val="TJ2"/>
        <w:tabs>
          <w:tab w:val="right" w:leader="dot" w:pos="9062"/>
        </w:tabs>
        <w:rPr>
          <w:rFonts w:asciiTheme="minorHAnsi" w:eastAsiaTheme="minorEastAsia" w:hAnsiTheme="minorHAnsi" w:cstheme="minorBidi"/>
          <w:noProof/>
          <w:lang w:eastAsia="hu-HU"/>
        </w:rPr>
      </w:pPr>
      <w:r>
        <w:rPr>
          <w:noProof/>
        </w:rPr>
        <w:t>Fenyegetettségek meghatározása</w:t>
      </w:r>
      <w:r>
        <w:rPr>
          <w:noProof/>
        </w:rPr>
        <w:tab/>
      </w:r>
      <w:r>
        <w:rPr>
          <w:noProof/>
        </w:rPr>
        <w:fldChar w:fldCharType="begin"/>
      </w:r>
      <w:r>
        <w:rPr>
          <w:noProof/>
        </w:rPr>
        <w:instrText xml:space="preserve"> PAGEREF _Toc128816719 \h </w:instrText>
      </w:r>
      <w:r>
        <w:rPr>
          <w:noProof/>
        </w:rPr>
      </w:r>
      <w:r>
        <w:rPr>
          <w:noProof/>
        </w:rPr>
        <w:fldChar w:fldCharType="separate"/>
      </w:r>
      <w:r>
        <w:rPr>
          <w:noProof/>
        </w:rPr>
        <w:t>6</w:t>
      </w:r>
      <w:r>
        <w:rPr>
          <w:noProof/>
        </w:rPr>
        <w:fldChar w:fldCharType="end"/>
      </w:r>
    </w:p>
    <w:p w14:paraId="7DAD0EA1" w14:textId="38D928BF" w:rsidR="00BC581C" w:rsidRDefault="00BC581C">
      <w:pPr>
        <w:pStyle w:val="TJ2"/>
        <w:tabs>
          <w:tab w:val="right" w:leader="dot" w:pos="9062"/>
        </w:tabs>
        <w:rPr>
          <w:rFonts w:asciiTheme="minorHAnsi" w:eastAsiaTheme="minorEastAsia" w:hAnsiTheme="minorHAnsi" w:cstheme="minorBidi"/>
          <w:noProof/>
          <w:lang w:eastAsia="hu-HU"/>
        </w:rPr>
      </w:pPr>
      <w:r>
        <w:rPr>
          <w:noProof/>
        </w:rPr>
        <w:t>Kockázatok értékelése</w:t>
      </w:r>
      <w:r>
        <w:rPr>
          <w:noProof/>
        </w:rPr>
        <w:tab/>
      </w:r>
      <w:r>
        <w:rPr>
          <w:noProof/>
        </w:rPr>
        <w:fldChar w:fldCharType="begin"/>
      </w:r>
      <w:r>
        <w:rPr>
          <w:noProof/>
        </w:rPr>
        <w:instrText xml:space="preserve"> PAGEREF _Toc128816720 \h </w:instrText>
      </w:r>
      <w:r>
        <w:rPr>
          <w:noProof/>
        </w:rPr>
      </w:r>
      <w:r>
        <w:rPr>
          <w:noProof/>
        </w:rPr>
        <w:fldChar w:fldCharType="separate"/>
      </w:r>
      <w:r>
        <w:rPr>
          <w:noProof/>
        </w:rPr>
        <w:t>7</w:t>
      </w:r>
      <w:r>
        <w:rPr>
          <w:noProof/>
        </w:rPr>
        <w:fldChar w:fldCharType="end"/>
      </w:r>
    </w:p>
    <w:p w14:paraId="73173E2E" w14:textId="337FF161" w:rsidR="00BC581C" w:rsidRDefault="00BC581C">
      <w:pPr>
        <w:pStyle w:val="TJ3"/>
        <w:tabs>
          <w:tab w:val="right" w:leader="dot" w:pos="9062"/>
        </w:tabs>
        <w:rPr>
          <w:rFonts w:asciiTheme="minorHAnsi" w:eastAsiaTheme="minorEastAsia" w:hAnsiTheme="minorHAnsi" w:cstheme="minorBidi"/>
          <w:noProof/>
          <w:lang w:eastAsia="hu-HU"/>
        </w:rPr>
      </w:pPr>
      <w:r>
        <w:rPr>
          <w:noProof/>
        </w:rPr>
        <w:t>Bizalmasság sérüléséből adódó kárérték megállapítása</w:t>
      </w:r>
      <w:r>
        <w:rPr>
          <w:noProof/>
        </w:rPr>
        <w:tab/>
      </w:r>
      <w:r>
        <w:rPr>
          <w:noProof/>
        </w:rPr>
        <w:fldChar w:fldCharType="begin"/>
      </w:r>
      <w:r>
        <w:rPr>
          <w:noProof/>
        </w:rPr>
        <w:instrText xml:space="preserve"> PAGEREF _Toc128816721 \h </w:instrText>
      </w:r>
      <w:r>
        <w:rPr>
          <w:noProof/>
        </w:rPr>
      </w:r>
      <w:r>
        <w:rPr>
          <w:noProof/>
        </w:rPr>
        <w:fldChar w:fldCharType="separate"/>
      </w:r>
      <w:r>
        <w:rPr>
          <w:noProof/>
        </w:rPr>
        <w:t>7</w:t>
      </w:r>
      <w:r>
        <w:rPr>
          <w:noProof/>
        </w:rPr>
        <w:fldChar w:fldCharType="end"/>
      </w:r>
    </w:p>
    <w:p w14:paraId="5DB9691D" w14:textId="00DCF141" w:rsidR="00BC581C" w:rsidRDefault="00BC581C">
      <w:pPr>
        <w:pStyle w:val="TJ3"/>
        <w:tabs>
          <w:tab w:val="right" w:leader="dot" w:pos="9062"/>
        </w:tabs>
        <w:rPr>
          <w:rFonts w:asciiTheme="minorHAnsi" w:eastAsiaTheme="minorEastAsia" w:hAnsiTheme="minorHAnsi" w:cstheme="minorBidi"/>
          <w:noProof/>
          <w:lang w:eastAsia="hu-HU"/>
        </w:rPr>
      </w:pPr>
      <w:r>
        <w:rPr>
          <w:noProof/>
        </w:rPr>
        <w:t>Sértetlenség sérüléséből adódó kárérték megállapítása</w:t>
      </w:r>
      <w:r>
        <w:rPr>
          <w:noProof/>
        </w:rPr>
        <w:tab/>
      </w:r>
      <w:r>
        <w:rPr>
          <w:noProof/>
        </w:rPr>
        <w:fldChar w:fldCharType="begin"/>
      </w:r>
      <w:r>
        <w:rPr>
          <w:noProof/>
        </w:rPr>
        <w:instrText xml:space="preserve"> PAGEREF _Toc128816722 \h </w:instrText>
      </w:r>
      <w:r>
        <w:rPr>
          <w:noProof/>
        </w:rPr>
      </w:r>
      <w:r>
        <w:rPr>
          <w:noProof/>
        </w:rPr>
        <w:fldChar w:fldCharType="separate"/>
      </w:r>
      <w:r>
        <w:rPr>
          <w:noProof/>
        </w:rPr>
        <w:t>8</w:t>
      </w:r>
      <w:r>
        <w:rPr>
          <w:noProof/>
        </w:rPr>
        <w:fldChar w:fldCharType="end"/>
      </w:r>
    </w:p>
    <w:p w14:paraId="2D0267DC" w14:textId="79C6B9C9" w:rsidR="00BC581C" w:rsidRDefault="00BC581C">
      <w:pPr>
        <w:pStyle w:val="TJ3"/>
        <w:tabs>
          <w:tab w:val="right" w:leader="dot" w:pos="9062"/>
        </w:tabs>
        <w:rPr>
          <w:rFonts w:asciiTheme="minorHAnsi" w:eastAsiaTheme="minorEastAsia" w:hAnsiTheme="minorHAnsi" w:cstheme="minorBidi"/>
          <w:noProof/>
          <w:lang w:eastAsia="hu-HU"/>
        </w:rPr>
      </w:pPr>
      <w:r>
        <w:rPr>
          <w:noProof/>
        </w:rPr>
        <w:t>Rendelkezésre állás sérüléséből adódó kárérték megállapítása</w:t>
      </w:r>
      <w:r>
        <w:rPr>
          <w:noProof/>
        </w:rPr>
        <w:tab/>
      </w:r>
      <w:r>
        <w:rPr>
          <w:noProof/>
        </w:rPr>
        <w:fldChar w:fldCharType="begin"/>
      </w:r>
      <w:r>
        <w:rPr>
          <w:noProof/>
        </w:rPr>
        <w:instrText xml:space="preserve"> PAGEREF _Toc128816723 \h </w:instrText>
      </w:r>
      <w:r>
        <w:rPr>
          <w:noProof/>
        </w:rPr>
      </w:r>
      <w:r>
        <w:rPr>
          <w:noProof/>
        </w:rPr>
        <w:fldChar w:fldCharType="separate"/>
      </w:r>
      <w:r>
        <w:rPr>
          <w:noProof/>
        </w:rPr>
        <w:t>10</w:t>
      </w:r>
      <w:r>
        <w:rPr>
          <w:noProof/>
        </w:rPr>
        <w:fldChar w:fldCharType="end"/>
      </w:r>
    </w:p>
    <w:p w14:paraId="50573318" w14:textId="3D0562FA" w:rsidR="00BC581C" w:rsidRDefault="00BC581C">
      <w:pPr>
        <w:pStyle w:val="TJ2"/>
        <w:tabs>
          <w:tab w:val="right" w:leader="dot" w:pos="9062"/>
        </w:tabs>
        <w:rPr>
          <w:rFonts w:asciiTheme="minorHAnsi" w:eastAsiaTheme="minorEastAsia" w:hAnsiTheme="minorHAnsi" w:cstheme="minorBidi"/>
          <w:noProof/>
          <w:lang w:eastAsia="hu-HU"/>
        </w:rPr>
      </w:pPr>
      <w:r>
        <w:rPr>
          <w:noProof/>
        </w:rPr>
        <w:t>EIR előzetes biztonsági osztályba sorolása</w:t>
      </w:r>
      <w:r>
        <w:rPr>
          <w:noProof/>
        </w:rPr>
        <w:tab/>
      </w:r>
      <w:r>
        <w:rPr>
          <w:noProof/>
        </w:rPr>
        <w:fldChar w:fldCharType="begin"/>
      </w:r>
      <w:r>
        <w:rPr>
          <w:noProof/>
        </w:rPr>
        <w:instrText xml:space="preserve"> PAGEREF _Toc128816724 \h </w:instrText>
      </w:r>
      <w:r>
        <w:rPr>
          <w:noProof/>
        </w:rPr>
      </w:r>
      <w:r>
        <w:rPr>
          <w:noProof/>
        </w:rPr>
        <w:fldChar w:fldCharType="separate"/>
      </w:r>
      <w:r>
        <w:rPr>
          <w:noProof/>
        </w:rPr>
        <w:t>11</w:t>
      </w:r>
      <w:r>
        <w:rPr>
          <w:noProof/>
        </w:rPr>
        <w:fldChar w:fldCharType="end"/>
      </w:r>
    </w:p>
    <w:p w14:paraId="3C500732" w14:textId="772E1E96" w:rsidR="00BC581C" w:rsidRDefault="00BC581C">
      <w:pPr>
        <w:pStyle w:val="TJ2"/>
        <w:tabs>
          <w:tab w:val="right" w:leader="dot" w:pos="9062"/>
        </w:tabs>
        <w:rPr>
          <w:rFonts w:asciiTheme="minorHAnsi" w:eastAsiaTheme="minorEastAsia" w:hAnsiTheme="minorHAnsi" w:cstheme="minorBidi"/>
          <w:noProof/>
          <w:lang w:eastAsia="hu-HU"/>
        </w:rPr>
      </w:pPr>
      <w:r>
        <w:rPr>
          <w:noProof/>
        </w:rPr>
        <w:t>Az előzetes biztonsági osztályba sorolás jóváhagyása és felülvizsgálata</w:t>
      </w:r>
      <w:r>
        <w:rPr>
          <w:noProof/>
        </w:rPr>
        <w:tab/>
      </w:r>
      <w:r>
        <w:rPr>
          <w:noProof/>
        </w:rPr>
        <w:fldChar w:fldCharType="begin"/>
      </w:r>
      <w:r>
        <w:rPr>
          <w:noProof/>
        </w:rPr>
        <w:instrText xml:space="preserve"> PAGEREF _Toc128816725 \h </w:instrText>
      </w:r>
      <w:r>
        <w:rPr>
          <w:noProof/>
        </w:rPr>
      </w:r>
      <w:r>
        <w:rPr>
          <w:noProof/>
        </w:rPr>
        <w:fldChar w:fldCharType="separate"/>
      </w:r>
      <w:r>
        <w:rPr>
          <w:noProof/>
        </w:rPr>
        <w:t>12</w:t>
      </w:r>
      <w:r>
        <w:rPr>
          <w:noProof/>
        </w:rPr>
        <w:fldChar w:fldCharType="end"/>
      </w:r>
    </w:p>
    <w:p w14:paraId="59488ED4" w14:textId="6530DD15" w:rsidR="00503218" w:rsidRPr="00D65BD6" w:rsidRDefault="00503218" w:rsidP="00503218">
      <w:pPr>
        <w:ind w:right="850"/>
      </w:pPr>
      <w:r w:rsidRPr="00D65BD6">
        <w:fldChar w:fldCharType="end"/>
      </w:r>
    </w:p>
    <w:p w14:paraId="4F9C475C" w14:textId="77777777" w:rsidR="00503218" w:rsidRPr="00D65BD6" w:rsidRDefault="00503218" w:rsidP="00503218">
      <w:pPr>
        <w:tabs>
          <w:tab w:val="left" w:pos="3091"/>
        </w:tabs>
      </w:pPr>
      <w:r w:rsidRPr="00D65BD6">
        <w:tab/>
      </w:r>
      <w:r w:rsidRPr="00D65BD6">
        <w:br w:type="page"/>
      </w:r>
    </w:p>
    <w:p w14:paraId="396A874A" w14:textId="77777777" w:rsidR="00503218" w:rsidRPr="00D65BD6" w:rsidRDefault="00503218" w:rsidP="00503218">
      <w:pPr>
        <w:pStyle w:val="Cmsor1"/>
      </w:pPr>
    </w:p>
    <w:p w14:paraId="46D4E6D1" w14:textId="243D6AD8" w:rsidR="00503218" w:rsidRPr="00D65BD6" w:rsidRDefault="00503218" w:rsidP="00503218">
      <w:pPr>
        <w:pStyle w:val="Cmsor1"/>
      </w:pPr>
      <w:bookmarkStart w:id="2" w:name="_Toc128816714"/>
      <w:r w:rsidRPr="00D65BD6">
        <w:t>Használt fogalmak</w:t>
      </w:r>
      <w:bookmarkEnd w:id="2"/>
    </w:p>
    <w:tbl>
      <w:tblPr>
        <w:tblStyle w:val="Rcsostblza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235"/>
      </w:tblGrid>
      <w:tr w:rsidR="00A1772A" w:rsidRPr="00D65BD6" w14:paraId="0234D341" w14:textId="77777777" w:rsidTr="00436AC2">
        <w:trPr>
          <w:trHeight w:val="187"/>
        </w:trPr>
        <w:tc>
          <w:tcPr>
            <w:tcW w:w="2263" w:type="dxa"/>
            <w:noWrap/>
            <w:hideMark/>
          </w:tcPr>
          <w:p w14:paraId="4BF616F2" w14:textId="77777777" w:rsidR="00A1772A" w:rsidRPr="00D65BD6" w:rsidRDefault="00A1772A" w:rsidP="00A1772A">
            <w:pPr>
              <w:rPr>
                <w:b/>
                <w:bCs/>
                <w:sz w:val="21"/>
                <w:szCs w:val="21"/>
              </w:rPr>
            </w:pPr>
            <w:r w:rsidRPr="00D65BD6">
              <w:rPr>
                <w:b/>
                <w:bCs/>
                <w:sz w:val="21"/>
                <w:szCs w:val="21"/>
              </w:rPr>
              <w:t>Bizalmasság</w:t>
            </w:r>
          </w:p>
        </w:tc>
        <w:tc>
          <w:tcPr>
            <w:tcW w:w="7235" w:type="dxa"/>
            <w:noWrap/>
            <w:hideMark/>
          </w:tcPr>
          <w:p w14:paraId="3ADB1802" w14:textId="3AE07BE0" w:rsidR="00A1772A" w:rsidRPr="00D65BD6" w:rsidRDefault="00A1772A">
            <w:pPr>
              <w:rPr>
                <w:sz w:val="20"/>
                <w:szCs w:val="20"/>
              </w:rPr>
            </w:pPr>
            <w:r w:rsidRPr="00D65BD6">
              <w:rPr>
                <w:sz w:val="20"/>
                <w:szCs w:val="20"/>
              </w:rPr>
              <w:t xml:space="preserve">az elektronikus </w:t>
            </w:r>
            <w:r w:rsidR="00F9711E" w:rsidRPr="00D65BD6">
              <w:rPr>
                <w:sz w:val="20"/>
                <w:szCs w:val="20"/>
              </w:rPr>
              <w:t>információs</w:t>
            </w:r>
            <w:r w:rsidRPr="00D65BD6">
              <w:rPr>
                <w:sz w:val="20"/>
                <w:szCs w:val="20"/>
              </w:rPr>
              <w:t xml:space="preserve"> rendszer azon </w:t>
            </w:r>
            <w:r w:rsidR="00F9711E" w:rsidRPr="00D65BD6">
              <w:rPr>
                <w:sz w:val="20"/>
                <w:szCs w:val="20"/>
              </w:rPr>
              <w:t>tulajdonsága</w:t>
            </w:r>
            <w:r w:rsidRPr="00D65BD6">
              <w:rPr>
                <w:sz w:val="20"/>
                <w:szCs w:val="20"/>
              </w:rPr>
              <w:t xml:space="preserve">, hogy a benne </w:t>
            </w:r>
            <w:r w:rsidR="00F9711E" w:rsidRPr="00D65BD6">
              <w:rPr>
                <w:sz w:val="20"/>
                <w:szCs w:val="20"/>
              </w:rPr>
              <w:t>tárolt</w:t>
            </w:r>
            <w:r w:rsidRPr="00D65BD6">
              <w:rPr>
                <w:sz w:val="20"/>
                <w:szCs w:val="20"/>
              </w:rPr>
              <w:t xml:space="preserve"> adatot, </w:t>
            </w:r>
            <w:r w:rsidR="00F9711E" w:rsidRPr="00D65BD6">
              <w:rPr>
                <w:sz w:val="20"/>
                <w:szCs w:val="20"/>
              </w:rPr>
              <w:t>információt</w:t>
            </w:r>
            <w:r w:rsidRPr="00D65BD6">
              <w:rPr>
                <w:sz w:val="20"/>
                <w:szCs w:val="20"/>
              </w:rPr>
              <w:t xml:space="preserve"> csak az arra jogosultak </w:t>
            </w:r>
            <w:r w:rsidR="00F9711E" w:rsidRPr="00D65BD6">
              <w:rPr>
                <w:sz w:val="20"/>
                <w:szCs w:val="20"/>
              </w:rPr>
              <w:t>és</w:t>
            </w:r>
            <w:r w:rsidRPr="00D65BD6">
              <w:rPr>
                <w:sz w:val="20"/>
                <w:szCs w:val="20"/>
              </w:rPr>
              <w:t xml:space="preserve"> csak a </w:t>
            </w:r>
            <w:r w:rsidR="00F9711E" w:rsidRPr="00D65BD6">
              <w:rPr>
                <w:sz w:val="20"/>
                <w:szCs w:val="20"/>
              </w:rPr>
              <w:t>jogosultságuk</w:t>
            </w:r>
            <w:r w:rsidRPr="00D65BD6">
              <w:rPr>
                <w:sz w:val="20"/>
                <w:szCs w:val="20"/>
              </w:rPr>
              <w:t xml:space="preserve"> szintje szerint ismerhetik meg, </w:t>
            </w:r>
            <w:r w:rsidR="00F9711E" w:rsidRPr="00D65BD6">
              <w:rPr>
                <w:sz w:val="20"/>
                <w:szCs w:val="20"/>
              </w:rPr>
              <w:t>használhatják</w:t>
            </w:r>
            <w:r w:rsidRPr="00D65BD6">
              <w:rPr>
                <w:sz w:val="20"/>
                <w:szCs w:val="20"/>
              </w:rPr>
              <w:t xml:space="preserve"> fel, illetve rendelkezhetnek a </w:t>
            </w:r>
            <w:proofErr w:type="spellStart"/>
            <w:r w:rsidRPr="00D65BD6">
              <w:rPr>
                <w:sz w:val="20"/>
                <w:szCs w:val="20"/>
              </w:rPr>
              <w:t>felhasználásáról</w:t>
            </w:r>
            <w:proofErr w:type="spellEnd"/>
            <w:r w:rsidRPr="00D65BD6">
              <w:rPr>
                <w:sz w:val="20"/>
                <w:szCs w:val="20"/>
              </w:rPr>
              <w:t xml:space="preserve"> – </w:t>
            </w:r>
            <w:proofErr w:type="spellStart"/>
            <w:r w:rsidRPr="00D65BD6">
              <w:rPr>
                <w:i/>
                <w:iCs/>
                <w:sz w:val="20"/>
                <w:szCs w:val="20"/>
              </w:rPr>
              <w:t>Ibtv</w:t>
            </w:r>
            <w:proofErr w:type="spellEnd"/>
            <w:r w:rsidRPr="00D65BD6">
              <w:rPr>
                <w:i/>
                <w:iCs/>
                <w:sz w:val="20"/>
                <w:szCs w:val="20"/>
              </w:rPr>
              <w:t xml:space="preserve">. 1. § (1) </w:t>
            </w:r>
            <w:r w:rsidR="00F9711E" w:rsidRPr="00D65BD6">
              <w:rPr>
                <w:i/>
                <w:iCs/>
                <w:sz w:val="20"/>
                <w:szCs w:val="20"/>
              </w:rPr>
              <w:t>bekezdés</w:t>
            </w:r>
            <w:r w:rsidRPr="00D65BD6">
              <w:rPr>
                <w:i/>
                <w:iCs/>
                <w:sz w:val="20"/>
                <w:szCs w:val="20"/>
              </w:rPr>
              <w:t xml:space="preserve"> 8. pont.</w:t>
            </w:r>
          </w:p>
        </w:tc>
      </w:tr>
      <w:tr w:rsidR="00F9711E" w:rsidRPr="00D65BD6" w14:paraId="7E79DA44" w14:textId="77777777" w:rsidTr="005077C3">
        <w:trPr>
          <w:trHeight w:val="320"/>
        </w:trPr>
        <w:tc>
          <w:tcPr>
            <w:tcW w:w="2263" w:type="dxa"/>
            <w:noWrap/>
          </w:tcPr>
          <w:p w14:paraId="6691FAAA" w14:textId="2D20B6A7" w:rsidR="00F9711E" w:rsidRPr="00D65BD6" w:rsidRDefault="00F9711E" w:rsidP="00A1772A">
            <w:pPr>
              <w:rPr>
                <w:b/>
                <w:bCs/>
                <w:sz w:val="21"/>
                <w:szCs w:val="21"/>
              </w:rPr>
            </w:pPr>
            <w:r w:rsidRPr="00D65BD6">
              <w:rPr>
                <w:b/>
                <w:bCs/>
                <w:sz w:val="21"/>
                <w:szCs w:val="21"/>
              </w:rPr>
              <w:t>Biztonsági osztály</w:t>
            </w:r>
          </w:p>
        </w:tc>
        <w:tc>
          <w:tcPr>
            <w:tcW w:w="7235" w:type="dxa"/>
            <w:noWrap/>
          </w:tcPr>
          <w:p w14:paraId="094A3257" w14:textId="759A199F" w:rsidR="00F9711E" w:rsidRPr="00D65BD6" w:rsidRDefault="00F9711E">
            <w:pPr>
              <w:rPr>
                <w:sz w:val="20"/>
                <w:szCs w:val="20"/>
              </w:rPr>
            </w:pPr>
            <w:r w:rsidRPr="00D65BD6">
              <w:rPr>
                <w:sz w:val="20"/>
                <w:szCs w:val="20"/>
              </w:rPr>
              <w:t xml:space="preserve">az elektronikus információs rendszer védelmének elvárt erőssége </w:t>
            </w:r>
            <w:proofErr w:type="spellStart"/>
            <w:r w:rsidRPr="00D65BD6">
              <w:rPr>
                <w:i/>
                <w:iCs/>
                <w:sz w:val="20"/>
                <w:szCs w:val="20"/>
              </w:rPr>
              <w:t>Ibtv</w:t>
            </w:r>
            <w:proofErr w:type="spellEnd"/>
            <w:r w:rsidRPr="00D65BD6">
              <w:rPr>
                <w:i/>
                <w:iCs/>
                <w:sz w:val="20"/>
                <w:szCs w:val="20"/>
              </w:rPr>
              <w:t>. 1. § (1) bekezdés 11. pont</w:t>
            </w:r>
          </w:p>
        </w:tc>
      </w:tr>
      <w:tr w:rsidR="00E866DF" w:rsidRPr="00D65BD6" w14:paraId="263FBA31" w14:textId="77777777" w:rsidTr="00436AC2">
        <w:trPr>
          <w:trHeight w:val="216"/>
        </w:trPr>
        <w:tc>
          <w:tcPr>
            <w:tcW w:w="2263" w:type="dxa"/>
            <w:noWrap/>
          </w:tcPr>
          <w:p w14:paraId="7045E177" w14:textId="0C8D46BB" w:rsidR="00E866DF" w:rsidRPr="00D65BD6" w:rsidRDefault="00E866DF" w:rsidP="00A1772A">
            <w:pPr>
              <w:rPr>
                <w:b/>
                <w:bCs/>
                <w:sz w:val="21"/>
                <w:szCs w:val="21"/>
              </w:rPr>
            </w:pPr>
            <w:r>
              <w:rPr>
                <w:b/>
                <w:bCs/>
                <w:sz w:val="21"/>
                <w:szCs w:val="21"/>
              </w:rPr>
              <w:t>EIR</w:t>
            </w:r>
          </w:p>
        </w:tc>
        <w:tc>
          <w:tcPr>
            <w:tcW w:w="7235" w:type="dxa"/>
            <w:noWrap/>
          </w:tcPr>
          <w:p w14:paraId="43E794AE" w14:textId="53534E98" w:rsidR="00E866DF" w:rsidRPr="00D65BD6" w:rsidRDefault="00E866DF">
            <w:pPr>
              <w:rPr>
                <w:sz w:val="20"/>
                <w:szCs w:val="20"/>
              </w:rPr>
            </w:pPr>
            <w:r>
              <w:rPr>
                <w:sz w:val="20"/>
                <w:szCs w:val="20"/>
              </w:rPr>
              <w:t>elektronikus információs rendszer</w:t>
            </w:r>
          </w:p>
        </w:tc>
      </w:tr>
      <w:tr w:rsidR="005F31F1" w:rsidRPr="00D65BD6" w14:paraId="0274AD85" w14:textId="77777777" w:rsidTr="005077C3">
        <w:trPr>
          <w:trHeight w:val="320"/>
        </w:trPr>
        <w:tc>
          <w:tcPr>
            <w:tcW w:w="2263" w:type="dxa"/>
            <w:noWrap/>
          </w:tcPr>
          <w:p w14:paraId="3B6DD038" w14:textId="5A37FF2A" w:rsidR="005F31F1" w:rsidRPr="00D65BD6" w:rsidRDefault="005F31F1" w:rsidP="00A1772A">
            <w:pPr>
              <w:rPr>
                <w:b/>
                <w:bCs/>
                <w:sz w:val="21"/>
                <w:szCs w:val="21"/>
              </w:rPr>
            </w:pPr>
            <w:r w:rsidRPr="00D65BD6">
              <w:rPr>
                <w:b/>
                <w:bCs/>
                <w:sz w:val="21"/>
                <w:szCs w:val="21"/>
              </w:rPr>
              <w:t>Fenyegetettség</w:t>
            </w:r>
          </w:p>
        </w:tc>
        <w:tc>
          <w:tcPr>
            <w:tcW w:w="7235" w:type="dxa"/>
            <w:noWrap/>
          </w:tcPr>
          <w:p w14:paraId="7ED9BEAB" w14:textId="7B85F0EA" w:rsidR="005F31F1" w:rsidRPr="00D65BD6" w:rsidRDefault="005F31F1">
            <w:pPr>
              <w:rPr>
                <w:sz w:val="20"/>
                <w:szCs w:val="20"/>
              </w:rPr>
            </w:pPr>
            <w:r w:rsidRPr="00D65BD6">
              <w:rPr>
                <w:sz w:val="20"/>
                <w:szCs w:val="20"/>
              </w:rPr>
              <w:t xml:space="preserve">olyan </w:t>
            </w:r>
            <w:r w:rsidR="00F9711E" w:rsidRPr="00D65BD6">
              <w:rPr>
                <w:sz w:val="20"/>
                <w:szCs w:val="20"/>
              </w:rPr>
              <w:t>lehetséges</w:t>
            </w:r>
            <w:r w:rsidRPr="00D65BD6">
              <w:rPr>
                <w:sz w:val="20"/>
                <w:szCs w:val="20"/>
              </w:rPr>
              <w:t xml:space="preserve"> </w:t>
            </w:r>
            <w:r w:rsidR="00F9711E" w:rsidRPr="00D65BD6">
              <w:rPr>
                <w:sz w:val="20"/>
                <w:szCs w:val="20"/>
              </w:rPr>
              <w:t>művelet</w:t>
            </w:r>
            <w:r w:rsidRPr="00D65BD6">
              <w:rPr>
                <w:sz w:val="20"/>
                <w:szCs w:val="20"/>
              </w:rPr>
              <w:t xml:space="preserve"> vagy </w:t>
            </w:r>
            <w:r w:rsidR="00F9711E" w:rsidRPr="00D65BD6">
              <w:rPr>
                <w:sz w:val="20"/>
                <w:szCs w:val="20"/>
              </w:rPr>
              <w:t>esemény</w:t>
            </w:r>
            <w:r w:rsidRPr="00D65BD6">
              <w:rPr>
                <w:sz w:val="20"/>
                <w:szCs w:val="20"/>
              </w:rPr>
              <w:t xml:space="preserve">, amely </w:t>
            </w:r>
            <w:r w:rsidR="00F9711E" w:rsidRPr="00D65BD6">
              <w:rPr>
                <w:sz w:val="20"/>
                <w:szCs w:val="20"/>
              </w:rPr>
              <w:t>sértheti</w:t>
            </w:r>
            <w:r w:rsidRPr="00D65BD6">
              <w:rPr>
                <w:sz w:val="20"/>
                <w:szCs w:val="20"/>
              </w:rPr>
              <w:t xml:space="preserve"> az elektronikus </w:t>
            </w:r>
            <w:r w:rsidR="00F9711E" w:rsidRPr="00D65BD6">
              <w:rPr>
                <w:sz w:val="20"/>
                <w:szCs w:val="20"/>
              </w:rPr>
              <w:t>információs</w:t>
            </w:r>
            <w:r w:rsidRPr="00D65BD6">
              <w:rPr>
                <w:sz w:val="20"/>
                <w:szCs w:val="20"/>
              </w:rPr>
              <w:t xml:space="preserve"> rendszer vagy az elektronikus </w:t>
            </w:r>
            <w:r w:rsidR="00F9711E" w:rsidRPr="00D65BD6">
              <w:rPr>
                <w:sz w:val="20"/>
                <w:szCs w:val="20"/>
              </w:rPr>
              <w:t>információs</w:t>
            </w:r>
            <w:r w:rsidRPr="00D65BD6">
              <w:rPr>
                <w:sz w:val="20"/>
                <w:szCs w:val="20"/>
              </w:rPr>
              <w:t xml:space="preserve"> rendszer elemei </w:t>
            </w:r>
            <w:proofErr w:type="spellStart"/>
            <w:r w:rsidRPr="00D65BD6">
              <w:rPr>
                <w:sz w:val="20"/>
                <w:szCs w:val="20"/>
              </w:rPr>
              <w:t>védettségét</w:t>
            </w:r>
            <w:proofErr w:type="spellEnd"/>
            <w:r w:rsidRPr="00D65BD6">
              <w:rPr>
                <w:sz w:val="20"/>
                <w:szCs w:val="20"/>
              </w:rPr>
              <w:t xml:space="preserve">, </w:t>
            </w:r>
            <w:r w:rsidR="00F9711E" w:rsidRPr="00D65BD6">
              <w:rPr>
                <w:sz w:val="20"/>
                <w:szCs w:val="20"/>
              </w:rPr>
              <w:t>biztonságát</w:t>
            </w:r>
            <w:r w:rsidRPr="00D65BD6">
              <w:rPr>
                <w:sz w:val="20"/>
                <w:szCs w:val="20"/>
              </w:rPr>
              <w:t xml:space="preserve">, </w:t>
            </w:r>
            <w:r w:rsidR="00F9711E" w:rsidRPr="00D65BD6">
              <w:rPr>
                <w:sz w:val="20"/>
                <w:szCs w:val="20"/>
              </w:rPr>
              <w:t>továbbá</w:t>
            </w:r>
            <w:r w:rsidRPr="00D65BD6">
              <w:rPr>
                <w:sz w:val="20"/>
                <w:szCs w:val="20"/>
              </w:rPr>
              <w:t xml:space="preserve">́ olyan </w:t>
            </w:r>
            <w:proofErr w:type="spellStart"/>
            <w:r w:rsidRPr="00D65BD6">
              <w:rPr>
                <w:sz w:val="20"/>
                <w:szCs w:val="20"/>
              </w:rPr>
              <w:t>mulasztásos</w:t>
            </w:r>
            <w:proofErr w:type="spellEnd"/>
            <w:r w:rsidRPr="00D65BD6">
              <w:rPr>
                <w:sz w:val="20"/>
                <w:szCs w:val="20"/>
              </w:rPr>
              <w:t xml:space="preserve"> </w:t>
            </w:r>
            <w:r w:rsidR="00F9711E" w:rsidRPr="00D65BD6">
              <w:rPr>
                <w:sz w:val="20"/>
                <w:szCs w:val="20"/>
              </w:rPr>
              <w:t>cselekmény</w:t>
            </w:r>
            <w:r w:rsidRPr="00D65BD6">
              <w:rPr>
                <w:sz w:val="20"/>
                <w:szCs w:val="20"/>
              </w:rPr>
              <w:t xml:space="preserve">, amely </w:t>
            </w:r>
            <w:r w:rsidR="00F9711E" w:rsidRPr="00D65BD6">
              <w:rPr>
                <w:sz w:val="20"/>
                <w:szCs w:val="20"/>
              </w:rPr>
              <w:t>sértheti</w:t>
            </w:r>
            <w:r w:rsidRPr="00D65BD6">
              <w:rPr>
                <w:sz w:val="20"/>
                <w:szCs w:val="20"/>
              </w:rPr>
              <w:t xml:space="preserve"> az elektronikus </w:t>
            </w:r>
            <w:r w:rsidR="00F9711E" w:rsidRPr="00D65BD6">
              <w:rPr>
                <w:sz w:val="20"/>
                <w:szCs w:val="20"/>
              </w:rPr>
              <w:t>információs</w:t>
            </w:r>
            <w:r w:rsidRPr="00D65BD6">
              <w:rPr>
                <w:sz w:val="20"/>
                <w:szCs w:val="20"/>
              </w:rPr>
              <w:t xml:space="preserve"> rendszer </w:t>
            </w:r>
            <w:proofErr w:type="spellStart"/>
            <w:r w:rsidRPr="00D65BD6">
              <w:rPr>
                <w:sz w:val="20"/>
                <w:szCs w:val="20"/>
              </w:rPr>
              <w:t>védettségét</w:t>
            </w:r>
            <w:proofErr w:type="spellEnd"/>
            <w:r w:rsidRPr="00D65BD6">
              <w:rPr>
                <w:sz w:val="20"/>
                <w:szCs w:val="20"/>
              </w:rPr>
              <w:t xml:space="preserve">, </w:t>
            </w:r>
            <w:r w:rsidR="00F9711E" w:rsidRPr="00D65BD6">
              <w:rPr>
                <w:sz w:val="20"/>
                <w:szCs w:val="20"/>
              </w:rPr>
              <w:t>biztonságát</w:t>
            </w:r>
            <w:r w:rsidRPr="00D65BD6">
              <w:rPr>
                <w:sz w:val="20"/>
                <w:szCs w:val="20"/>
              </w:rPr>
              <w:t xml:space="preserve"> - </w:t>
            </w:r>
            <w:proofErr w:type="spellStart"/>
            <w:r w:rsidRPr="00D65BD6">
              <w:rPr>
                <w:i/>
                <w:iCs/>
                <w:sz w:val="20"/>
                <w:szCs w:val="20"/>
              </w:rPr>
              <w:t>Ibtv</w:t>
            </w:r>
            <w:proofErr w:type="spellEnd"/>
            <w:r w:rsidRPr="00D65BD6">
              <w:rPr>
                <w:i/>
                <w:iCs/>
                <w:sz w:val="20"/>
                <w:szCs w:val="20"/>
              </w:rPr>
              <w:t xml:space="preserve">. 1. § (1) </w:t>
            </w:r>
            <w:r w:rsidR="00F9711E" w:rsidRPr="00D65BD6">
              <w:rPr>
                <w:i/>
                <w:iCs/>
                <w:sz w:val="20"/>
                <w:szCs w:val="20"/>
              </w:rPr>
              <w:t>bekezdés</w:t>
            </w:r>
            <w:r w:rsidRPr="00D65BD6">
              <w:rPr>
                <w:i/>
                <w:iCs/>
                <w:sz w:val="20"/>
                <w:szCs w:val="20"/>
              </w:rPr>
              <w:t xml:space="preserve"> 19. pont</w:t>
            </w:r>
          </w:p>
        </w:tc>
      </w:tr>
      <w:tr w:rsidR="00A1772A" w:rsidRPr="00D65BD6" w14:paraId="7A96A4D0" w14:textId="77777777" w:rsidTr="005077C3">
        <w:trPr>
          <w:trHeight w:val="320"/>
        </w:trPr>
        <w:tc>
          <w:tcPr>
            <w:tcW w:w="2263" w:type="dxa"/>
            <w:noWrap/>
            <w:hideMark/>
          </w:tcPr>
          <w:p w14:paraId="3F9925E0" w14:textId="77777777" w:rsidR="00A1772A" w:rsidRPr="00D65BD6" w:rsidRDefault="00A1772A">
            <w:pPr>
              <w:rPr>
                <w:b/>
                <w:bCs/>
                <w:sz w:val="21"/>
                <w:szCs w:val="21"/>
              </w:rPr>
            </w:pPr>
            <w:proofErr w:type="spellStart"/>
            <w:r w:rsidRPr="00D65BD6">
              <w:rPr>
                <w:b/>
                <w:bCs/>
                <w:sz w:val="21"/>
                <w:szCs w:val="21"/>
              </w:rPr>
              <w:t>Ibtv</w:t>
            </w:r>
            <w:proofErr w:type="spellEnd"/>
            <w:r w:rsidRPr="00D65BD6">
              <w:rPr>
                <w:b/>
                <w:bCs/>
                <w:sz w:val="21"/>
                <w:szCs w:val="21"/>
              </w:rPr>
              <w:t>.</w:t>
            </w:r>
          </w:p>
        </w:tc>
        <w:tc>
          <w:tcPr>
            <w:tcW w:w="7235" w:type="dxa"/>
            <w:noWrap/>
            <w:hideMark/>
          </w:tcPr>
          <w:p w14:paraId="714EE43B" w14:textId="77777777" w:rsidR="00A1772A" w:rsidRPr="00D65BD6" w:rsidRDefault="00A1772A">
            <w:pPr>
              <w:rPr>
                <w:sz w:val="20"/>
                <w:szCs w:val="20"/>
              </w:rPr>
            </w:pPr>
            <w:r w:rsidRPr="00D65BD6">
              <w:rPr>
                <w:sz w:val="20"/>
                <w:szCs w:val="20"/>
              </w:rPr>
              <w:t>Az állami és önkormányzati szervek elektronikus információbiztonságáról szóló 2013. évi L. törvény</w:t>
            </w:r>
          </w:p>
        </w:tc>
      </w:tr>
      <w:tr w:rsidR="00A1772A" w:rsidRPr="00D65BD6" w14:paraId="60714B34" w14:textId="77777777" w:rsidTr="005077C3">
        <w:trPr>
          <w:trHeight w:val="320"/>
        </w:trPr>
        <w:tc>
          <w:tcPr>
            <w:tcW w:w="2263" w:type="dxa"/>
            <w:noWrap/>
            <w:hideMark/>
          </w:tcPr>
          <w:p w14:paraId="003DC9A9" w14:textId="1D16BE49" w:rsidR="00A1772A" w:rsidRPr="00E84C45" w:rsidRDefault="00564A66" w:rsidP="00564A66">
            <w:pPr>
              <w:jc w:val="left"/>
              <w:rPr>
                <w:b/>
                <w:bCs/>
                <w:sz w:val="21"/>
                <w:szCs w:val="21"/>
              </w:rPr>
            </w:pPr>
            <w:r w:rsidRPr="00E84C45">
              <w:rPr>
                <w:b/>
                <w:bCs/>
                <w:sz w:val="21"/>
                <w:szCs w:val="21"/>
              </w:rPr>
              <w:t>Elektronikus i</w:t>
            </w:r>
            <w:r w:rsidR="00A1772A" w:rsidRPr="00E84C45">
              <w:rPr>
                <w:b/>
                <w:bCs/>
                <w:sz w:val="21"/>
                <w:szCs w:val="21"/>
              </w:rPr>
              <w:t>nformációs rendszer</w:t>
            </w:r>
          </w:p>
        </w:tc>
        <w:tc>
          <w:tcPr>
            <w:tcW w:w="7235" w:type="dxa"/>
            <w:noWrap/>
            <w:hideMark/>
          </w:tcPr>
          <w:p w14:paraId="5D6E02E1" w14:textId="257DBBB5" w:rsidR="00A1772A" w:rsidRPr="00E84C45" w:rsidRDefault="00564A66" w:rsidP="00564A66">
            <w:pPr>
              <w:rPr>
                <w:sz w:val="20"/>
                <w:szCs w:val="20"/>
              </w:rPr>
            </w:pPr>
            <w:r w:rsidRPr="00E84C45">
              <w:rPr>
                <w:rStyle w:val="highlighted"/>
                <w:sz w:val="20"/>
                <w:szCs w:val="20"/>
              </w:rPr>
              <w:t xml:space="preserve">Elektronikus információs rendszernek kell </w:t>
            </w:r>
            <w:r w:rsidRPr="00E84C45">
              <w:rPr>
                <w:sz w:val="20"/>
                <w:szCs w:val="20"/>
              </w:rPr>
              <w:t>tekinteni</w:t>
            </w:r>
            <w:r w:rsidRPr="00E84C45">
              <w:rPr>
                <w:rStyle w:val="highlighted"/>
                <w:sz w:val="20"/>
                <w:szCs w:val="20"/>
              </w:rPr>
              <w:t xml:space="preserve"> adott adatkezelő vagy adatfeldolgozó által, adott cél érdekében az adatok, információk kezelésére használt eszközök – így különösen környezeti infrastruktúra, hardver, hálózat és adathordozók –, eljárások – így különösen szabályozás, szoftver és kapcsolódó folyamatok –, valamint az ezeket kezelő személyek együttesét.</w:t>
            </w:r>
            <w:r w:rsidR="00A1772A" w:rsidRPr="00E84C45">
              <w:rPr>
                <w:sz w:val="20"/>
                <w:szCs w:val="20"/>
              </w:rPr>
              <w:t xml:space="preserve"> - </w:t>
            </w:r>
            <w:proofErr w:type="spellStart"/>
            <w:r w:rsidR="00A1772A" w:rsidRPr="00E84C45">
              <w:rPr>
                <w:i/>
                <w:iCs/>
                <w:sz w:val="20"/>
                <w:szCs w:val="20"/>
              </w:rPr>
              <w:t>Ibtv</w:t>
            </w:r>
            <w:proofErr w:type="spellEnd"/>
            <w:r w:rsidR="00A1772A" w:rsidRPr="00E84C45">
              <w:rPr>
                <w:i/>
                <w:iCs/>
                <w:sz w:val="20"/>
                <w:szCs w:val="20"/>
              </w:rPr>
              <w:t xml:space="preserve">. 1. § (3) </w:t>
            </w:r>
            <w:r w:rsidR="00F9711E" w:rsidRPr="00E84C45">
              <w:rPr>
                <w:i/>
                <w:iCs/>
                <w:sz w:val="20"/>
                <w:szCs w:val="20"/>
              </w:rPr>
              <w:t>bekezdés</w:t>
            </w:r>
          </w:p>
        </w:tc>
      </w:tr>
      <w:tr w:rsidR="003653EC" w:rsidRPr="00D65BD6" w14:paraId="2A3A298F" w14:textId="77777777" w:rsidTr="005077C3">
        <w:trPr>
          <w:trHeight w:val="320"/>
        </w:trPr>
        <w:tc>
          <w:tcPr>
            <w:tcW w:w="2263" w:type="dxa"/>
            <w:noWrap/>
          </w:tcPr>
          <w:p w14:paraId="01E98D20" w14:textId="45368E24" w:rsidR="003653EC" w:rsidRPr="00D65BD6" w:rsidRDefault="003653EC">
            <w:pPr>
              <w:rPr>
                <w:b/>
                <w:bCs/>
                <w:sz w:val="21"/>
                <w:szCs w:val="21"/>
              </w:rPr>
            </w:pPr>
            <w:r>
              <w:rPr>
                <w:b/>
                <w:bCs/>
                <w:sz w:val="21"/>
                <w:szCs w:val="21"/>
              </w:rPr>
              <w:t>Kockázat</w:t>
            </w:r>
          </w:p>
        </w:tc>
        <w:tc>
          <w:tcPr>
            <w:tcW w:w="7235" w:type="dxa"/>
            <w:noWrap/>
          </w:tcPr>
          <w:p w14:paraId="77D7BB52" w14:textId="1425D5AD" w:rsidR="003653EC" w:rsidRPr="00D65BD6" w:rsidRDefault="003653EC">
            <w:pPr>
              <w:rPr>
                <w:sz w:val="20"/>
                <w:szCs w:val="20"/>
              </w:rPr>
            </w:pPr>
            <w:r>
              <w:rPr>
                <w:sz w:val="20"/>
                <w:szCs w:val="20"/>
              </w:rPr>
              <w:t>Az adott EIR-ek, valamint a bennük tárolt adatok bizalmasságát, sértetlenségét vagy rendelkezésre állását veszélyeztető fenyegetés bekövetkezési valószínűségét, valamint a lehetséges kár nagyságát is figyelembe vevő tényező.</w:t>
            </w:r>
          </w:p>
        </w:tc>
      </w:tr>
      <w:tr w:rsidR="00EF7B1D" w:rsidRPr="00D65BD6" w14:paraId="0E8C5C8B" w14:textId="77777777" w:rsidTr="005077C3">
        <w:trPr>
          <w:trHeight w:val="320"/>
        </w:trPr>
        <w:tc>
          <w:tcPr>
            <w:tcW w:w="2263" w:type="dxa"/>
            <w:noWrap/>
          </w:tcPr>
          <w:p w14:paraId="4BBF6852" w14:textId="6D8A69B7" w:rsidR="00EF7B1D" w:rsidRPr="00D65BD6" w:rsidRDefault="00EF7B1D">
            <w:pPr>
              <w:rPr>
                <w:b/>
                <w:bCs/>
                <w:sz w:val="21"/>
                <w:szCs w:val="21"/>
              </w:rPr>
            </w:pPr>
            <w:r w:rsidRPr="00D65BD6">
              <w:rPr>
                <w:b/>
                <w:bCs/>
                <w:sz w:val="21"/>
                <w:szCs w:val="21"/>
              </w:rPr>
              <w:t>Különleges adat</w:t>
            </w:r>
          </w:p>
        </w:tc>
        <w:tc>
          <w:tcPr>
            <w:tcW w:w="7235" w:type="dxa"/>
            <w:noWrap/>
          </w:tcPr>
          <w:p w14:paraId="0911E50A" w14:textId="4AE12990" w:rsidR="00EF7B1D" w:rsidRPr="00D65BD6" w:rsidRDefault="00EF7B1D">
            <w:pPr>
              <w:rPr>
                <w:sz w:val="20"/>
                <w:szCs w:val="20"/>
              </w:rPr>
            </w:pPr>
            <w:r w:rsidRPr="00D65BD6">
              <w:rPr>
                <w:sz w:val="20"/>
                <w:szCs w:val="20"/>
              </w:rPr>
              <w:t xml:space="preserve">a </w:t>
            </w:r>
            <w:r w:rsidR="00F9711E" w:rsidRPr="00D65BD6">
              <w:rPr>
                <w:sz w:val="20"/>
                <w:szCs w:val="20"/>
              </w:rPr>
              <w:t>személyes</w:t>
            </w:r>
            <w:r w:rsidRPr="00D65BD6">
              <w:rPr>
                <w:sz w:val="20"/>
                <w:szCs w:val="20"/>
              </w:rPr>
              <w:t xml:space="preserve"> adatok </w:t>
            </w:r>
            <w:r w:rsidR="00F9711E" w:rsidRPr="00D65BD6">
              <w:rPr>
                <w:sz w:val="20"/>
                <w:szCs w:val="20"/>
              </w:rPr>
              <w:t>különleges</w:t>
            </w:r>
            <w:r w:rsidRPr="00D65BD6">
              <w:rPr>
                <w:sz w:val="20"/>
                <w:szCs w:val="20"/>
              </w:rPr>
              <w:t xml:space="preserve"> </w:t>
            </w:r>
            <w:r w:rsidR="00F9711E" w:rsidRPr="00D65BD6">
              <w:rPr>
                <w:sz w:val="20"/>
                <w:szCs w:val="20"/>
              </w:rPr>
              <w:t>kategóriaiba</w:t>
            </w:r>
            <w:r w:rsidRPr="00D65BD6">
              <w:rPr>
                <w:sz w:val="20"/>
                <w:szCs w:val="20"/>
              </w:rPr>
              <w:t xml:space="preserve"> </w:t>
            </w:r>
            <w:r w:rsidR="00F9711E" w:rsidRPr="00D65BD6">
              <w:rPr>
                <w:sz w:val="20"/>
                <w:szCs w:val="20"/>
              </w:rPr>
              <w:t>tartozó</w:t>
            </w:r>
            <w:r w:rsidRPr="00D65BD6">
              <w:rPr>
                <w:sz w:val="20"/>
                <w:szCs w:val="20"/>
              </w:rPr>
              <w:t xml:space="preserve">́ minden adat, azaz a faji vagy etnikai </w:t>
            </w:r>
            <w:r w:rsidR="00F9711E" w:rsidRPr="00D65BD6">
              <w:rPr>
                <w:sz w:val="20"/>
                <w:szCs w:val="20"/>
              </w:rPr>
              <w:t>származásra</w:t>
            </w:r>
            <w:r w:rsidRPr="00D65BD6">
              <w:rPr>
                <w:sz w:val="20"/>
                <w:szCs w:val="20"/>
              </w:rPr>
              <w:t xml:space="preserve">, politikai </w:t>
            </w:r>
            <w:r w:rsidR="00F9711E" w:rsidRPr="00D65BD6">
              <w:rPr>
                <w:sz w:val="20"/>
                <w:szCs w:val="20"/>
              </w:rPr>
              <w:t>véleményre</w:t>
            </w:r>
            <w:r w:rsidRPr="00D65BD6">
              <w:rPr>
                <w:sz w:val="20"/>
                <w:szCs w:val="20"/>
              </w:rPr>
              <w:t xml:space="preserve">, </w:t>
            </w:r>
            <w:r w:rsidR="00F9711E" w:rsidRPr="00D65BD6">
              <w:rPr>
                <w:sz w:val="20"/>
                <w:szCs w:val="20"/>
              </w:rPr>
              <w:t>vallási</w:t>
            </w:r>
            <w:r w:rsidRPr="00D65BD6">
              <w:rPr>
                <w:sz w:val="20"/>
                <w:szCs w:val="20"/>
              </w:rPr>
              <w:t xml:space="preserve"> vagy </w:t>
            </w:r>
            <w:r w:rsidR="00F9711E" w:rsidRPr="00D65BD6">
              <w:rPr>
                <w:sz w:val="20"/>
                <w:szCs w:val="20"/>
              </w:rPr>
              <w:t>világnézeti</w:t>
            </w:r>
            <w:r w:rsidRPr="00D65BD6">
              <w:rPr>
                <w:sz w:val="20"/>
                <w:szCs w:val="20"/>
              </w:rPr>
              <w:t xml:space="preserve"> </w:t>
            </w:r>
            <w:proofErr w:type="spellStart"/>
            <w:r w:rsidRPr="00D65BD6">
              <w:rPr>
                <w:sz w:val="20"/>
                <w:szCs w:val="20"/>
              </w:rPr>
              <w:t>meggyőződésre</w:t>
            </w:r>
            <w:proofErr w:type="spellEnd"/>
            <w:r w:rsidRPr="00D65BD6">
              <w:rPr>
                <w:sz w:val="20"/>
                <w:szCs w:val="20"/>
              </w:rPr>
              <w:t xml:space="preserve"> vagy szakszervezeti </w:t>
            </w:r>
            <w:r w:rsidR="00F9711E" w:rsidRPr="00D65BD6">
              <w:rPr>
                <w:sz w:val="20"/>
                <w:szCs w:val="20"/>
              </w:rPr>
              <w:t>tagságra</w:t>
            </w:r>
            <w:r w:rsidRPr="00D65BD6">
              <w:rPr>
                <w:sz w:val="20"/>
                <w:szCs w:val="20"/>
              </w:rPr>
              <w:t xml:space="preserve"> </w:t>
            </w:r>
            <w:r w:rsidR="00F9711E" w:rsidRPr="00D65BD6">
              <w:rPr>
                <w:sz w:val="20"/>
                <w:szCs w:val="20"/>
              </w:rPr>
              <w:t>utaló</w:t>
            </w:r>
            <w:r w:rsidRPr="00D65BD6">
              <w:rPr>
                <w:sz w:val="20"/>
                <w:szCs w:val="20"/>
              </w:rPr>
              <w:t xml:space="preserve">́ </w:t>
            </w:r>
            <w:r w:rsidR="00F9711E" w:rsidRPr="00D65BD6">
              <w:rPr>
                <w:sz w:val="20"/>
                <w:szCs w:val="20"/>
              </w:rPr>
              <w:t>személyes</w:t>
            </w:r>
            <w:r w:rsidRPr="00D65BD6">
              <w:rPr>
                <w:sz w:val="20"/>
                <w:szCs w:val="20"/>
              </w:rPr>
              <w:t xml:space="preserve"> adatok, valamint a genetikai adatok, a </w:t>
            </w:r>
            <w:r w:rsidR="00F9711E" w:rsidRPr="00D65BD6">
              <w:rPr>
                <w:sz w:val="20"/>
                <w:szCs w:val="20"/>
              </w:rPr>
              <w:t>természetes</w:t>
            </w:r>
            <w:r w:rsidRPr="00D65BD6">
              <w:rPr>
                <w:sz w:val="20"/>
                <w:szCs w:val="20"/>
              </w:rPr>
              <w:t xml:space="preserve"> </w:t>
            </w:r>
            <w:r w:rsidR="00F9711E" w:rsidRPr="00D65BD6">
              <w:rPr>
                <w:sz w:val="20"/>
                <w:szCs w:val="20"/>
              </w:rPr>
              <w:t>személyek</w:t>
            </w:r>
            <w:r w:rsidRPr="00D65BD6">
              <w:rPr>
                <w:sz w:val="20"/>
                <w:szCs w:val="20"/>
              </w:rPr>
              <w:t xml:space="preserve"> egyedi </w:t>
            </w:r>
            <w:proofErr w:type="spellStart"/>
            <w:r w:rsidRPr="00D65BD6">
              <w:rPr>
                <w:sz w:val="20"/>
                <w:szCs w:val="20"/>
              </w:rPr>
              <w:t>azonosítását</w:t>
            </w:r>
            <w:proofErr w:type="spellEnd"/>
            <w:r w:rsidRPr="00D65BD6">
              <w:rPr>
                <w:sz w:val="20"/>
                <w:szCs w:val="20"/>
              </w:rPr>
              <w:t xml:space="preserve"> </w:t>
            </w:r>
            <w:r w:rsidR="00F9711E" w:rsidRPr="00D65BD6">
              <w:rPr>
                <w:sz w:val="20"/>
                <w:szCs w:val="20"/>
              </w:rPr>
              <w:t>célzó</w:t>
            </w:r>
            <w:r w:rsidRPr="00D65BD6">
              <w:rPr>
                <w:sz w:val="20"/>
                <w:szCs w:val="20"/>
              </w:rPr>
              <w:t xml:space="preserve">́ </w:t>
            </w:r>
            <w:proofErr w:type="spellStart"/>
            <w:r w:rsidRPr="00D65BD6">
              <w:rPr>
                <w:sz w:val="20"/>
                <w:szCs w:val="20"/>
              </w:rPr>
              <w:t>biometrikus</w:t>
            </w:r>
            <w:proofErr w:type="spellEnd"/>
            <w:r w:rsidRPr="00D65BD6">
              <w:rPr>
                <w:sz w:val="20"/>
                <w:szCs w:val="20"/>
              </w:rPr>
              <w:t xml:space="preserve"> adatok, az </w:t>
            </w:r>
            <w:proofErr w:type="spellStart"/>
            <w:r w:rsidRPr="00D65BD6">
              <w:rPr>
                <w:sz w:val="20"/>
                <w:szCs w:val="20"/>
              </w:rPr>
              <w:t>egészségügyi</w:t>
            </w:r>
            <w:proofErr w:type="spellEnd"/>
            <w:r w:rsidRPr="00D65BD6">
              <w:rPr>
                <w:sz w:val="20"/>
                <w:szCs w:val="20"/>
              </w:rPr>
              <w:t xml:space="preserve"> adatok </w:t>
            </w:r>
            <w:r w:rsidR="00F9711E" w:rsidRPr="00D65BD6">
              <w:rPr>
                <w:sz w:val="20"/>
                <w:szCs w:val="20"/>
              </w:rPr>
              <w:t>és</w:t>
            </w:r>
            <w:r w:rsidRPr="00D65BD6">
              <w:rPr>
                <w:sz w:val="20"/>
                <w:szCs w:val="20"/>
              </w:rPr>
              <w:t xml:space="preserve"> a </w:t>
            </w:r>
            <w:r w:rsidR="00F9711E" w:rsidRPr="00D65BD6">
              <w:rPr>
                <w:sz w:val="20"/>
                <w:szCs w:val="20"/>
              </w:rPr>
              <w:t>természetes</w:t>
            </w:r>
            <w:r w:rsidRPr="00D65BD6">
              <w:rPr>
                <w:sz w:val="20"/>
                <w:szCs w:val="20"/>
              </w:rPr>
              <w:t xml:space="preserve"> </w:t>
            </w:r>
            <w:r w:rsidR="00F9711E" w:rsidRPr="00D65BD6">
              <w:rPr>
                <w:sz w:val="20"/>
                <w:szCs w:val="20"/>
              </w:rPr>
              <w:t>személyek</w:t>
            </w:r>
            <w:r w:rsidRPr="00D65BD6">
              <w:rPr>
                <w:sz w:val="20"/>
                <w:szCs w:val="20"/>
              </w:rPr>
              <w:t xml:space="preserve"> </w:t>
            </w:r>
            <w:r w:rsidR="00F9711E" w:rsidRPr="00D65BD6">
              <w:rPr>
                <w:sz w:val="20"/>
                <w:szCs w:val="20"/>
              </w:rPr>
              <w:t>szexuális</w:t>
            </w:r>
            <w:r w:rsidRPr="00D65BD6">
              <w:rPr>
                <w:sz w:val="20"/>
                <w:szCs w:val="20"/>
              </w:rPr>
              <w:t xml:space="preserve"> </w:t>
            </w:r>
            <w:r w:rsidR="00F9711E" w:rsidRPr="00D65BD6">
              <w:rPr>
                <w:sz w:val="20"/>
                <w:szCs w:val="20"/>
              </w:rPr>
              <w:t>életére</w:t>
            </w:r>
            <w:r w:rsidRPr="00D65BD6">
              <w:rPr>
                <w:sz w:val="20"/>
                <w:szCs w:val="20"/>
              </w:rPr>
              <w:t xml:space="preserve"> vagy </w:t>
            </w:r>
            <w:r w:rsidR="00F9711E" w:rsidRPr="00D65BD6">
              <w:rPr>
                <w:sz w:val="20"/>
                <w:szCs w:val="20"/>
              </w:rPr>
              <w:t>szexuális</w:t>
            </w:r>
            <w:r w:rsidRPr="00D65BD6">
              <w:rPr>
                <w:sz w:val="20"/>
                <w:szCs w:val="20"/>
              </w:rPr>
              <w:t xml:space="preserve"> </w:t>
            </w:r>
            <w:proofErr w:type="spellStart"/>
            <w:r w:rsidRPr="00D65BD6">
              <w:rPr>
                <w:sz w:val="20"/>
                <w:szCs w:val="20"/>
              </w:rPr>
              <w:t>irányultságára</w:t>
            </w:r>
            <w:proofErr w:type="spellEnd"/>
            <w:r w:rsidRPr="00D65BD6">
              <w:rPr>
                <w:sz w:val="20"/>
                <w:szCs w:val="20"/>
              </w:rPr>
              <w:t xml:space="preserve"> </w:t>
            </w:r>
            <w:r w:rsidR="00F9711E" w:rsidRPr="00D65BD6">
              <w:rPr>
                <w:sz w:val="20"/>
                <w:szCs w:val="20"/>
              </w:rPr>
              <w:t>vonatkozó</w:t>
            </w:r>
            <w:r w:rsidRPr="00D65BD6">
              <w:rPr>
                <w:sz w:val="20"/>
                <w:szCs w:val="20"/>
              </w:rPr>
              <w:t xml:space="preserve">́ </w:t>
            </w:r>
            <w:r w:rsidR="00F9711E" w:rsidRPr="00D65BD6">
              <w:rPr>
                <w:sz w:val="20"/>
                <w:szCs w:val="20"/>
              </w:rPr>
              <w:t>személyes</w:t>
            </w:r>
            <w:r w:rsidRPr="00D65BD6">
              <w:rPr>
                <w:sz w:val="20"/>
                <w:szCs w:val="20"/>
              </w:rPr>
              <w:t xml:space="preserve"> adatok</w:t>
            </w:r>
          </w:p>
        </w:tc>
      </w:tr>
      <w:tr w:rsidR="00A1772A" w:rsidRPr="00D65BD6" w14:paraId="1ABD2F7D" w14:textId="77777777" w:rsidTr="005077C3">
        <w:trPr>
          <w:trHeight w:val="320"/>
        </w:trPr>
        <w:tc>
          <w:tcPr>
            <w:tcW w:w="2263" w:type="dxa"/>
            <w:noWrap/>
            <w:hideMark/>
          </w:tcPr>
          <w:p w14:paraId="755EED78" w14:textId="77777777" w:rsidR="00A1772A" w:rsidRPr="00D65BD6" w:rsidRDefault="00A1772A">
            <w:pPr>
              <w:rPr>
                <w:b/>
                <w:bCs/>
                <w:sz w:val="21"/>
                <w:szCs w:val="21"/>
              </w:rPr>
            </w:pPr>
            <w:r w:rsidRPr="00D65BD6">
              <w:rPr>
                <w:b/>
                <w:bCs/>
                <w:sz w:val="21"/>
                <w:szCs w:val="21"/>
              </w:rPr>
              <w:t>Rendelkezésre állás</w:t>
            </w:r>
          </w:p>
        </w:tc>
        <w:tc>
          <w:tcPr>
            <w:tcW w:w="7235" w:type="dxa"/>
            <w:noWrap/>
            <w:hideMark/>
          </w:tcPr>
          <w:p w14:paraId="55C8FDCB" w14:textId="7252FC1F" w:rsidR="00A1772A" w:rsidRPr="00D65BD6" w:rsidRDefault="00A1772A">
            <w:pPr>
              <w:rPr>
                <w:sz w:val="20"/>
                <w:szCs w:val="20"/>
              </w:rPr>
            </w:pPr>
            <w:r w:rsidRPr="00D65BD6">
              <w:rPr>
                <w:sz w:val="20"/>
                <w:szCs w:val="20"/>
              </w:rPr>
              <w:t xml:space="preserve">annak </w:t>
            </w:r>
            <w:r w:rsidR="00F9711E" w:rsidRPr="00D65BD6">
              <w:rPr>
                <w:sz w:val="20"/>
                <w:szCs w:val="20"/>
              </w:rPr>
              <w:t>biztosítása</w:t>
            </w:r>
            <w:r w:rsidRPr="00D65BD6">
              <w:rPr>
                <w:sz w:val="20"/>
                <w:szCs w:val="20"/>
              </w:rPr>
              <w:t xml:space="preserve">, hogy az elektronikus </w:t>
            </w:r>
            <w:r w:rsidR="00F9711E" w:rsidRPr="00D65BD6">
              <w:rPr>
                <w:sz w:val="20"/>
                <w:szCs w:val="20"/>
              </w:rPr>
              <w:t>információs</w:t>
            </w:r>
            <w:r w:rsidRPr="00D65BD6">
              <w:rPr>
                <w:sz w:val="20"/>
                <w:szCs w:val="20"/>
              </w:rPr>
              <w:t xml:space="preserve"> rendszerek az arra jogosult </w:t>
            </w:r>
            <w:r w:rsidR="00F9711E" w:rsidRPr="00D65BD6">
              <w:rPr>
                <w:sz w:val="20"/>
                <w:szCs w:val="20"/>
              </w:rPr>
              <w:t>személy</w:t>
            </w:r>
            <w:r w:rsidRPr="00D65BD6">
              <w:rPr>
                <w:sz w:val="20"/>
                <w:szCs w:val="20"/>
              </w:rPr>
              <w:t xml:space="preserve"> </w:t>
            </w:r>
            <w:r w:rsidR="00F9711E" w:rsidRPr="00D65BD6">
              <w:rPr>
                <w:sz w:val="20"/>
                <w:szCs w:val="20"/>
              </w:rPr>
              <w:t>számára</w:t>
            </w:r>
            <w:r w:rsidRPr="00D65BD6">
              <w:rPr>
                <w:sz w:val="20"/>
                <w:szCs w:val="20"/>
              </w:rPr>
              <w:t xml:space="preserve"> </w:t>
            </w:r>
            <w:r w:rsidR="00F9711E" w:rsidRPr="00D65BD6">
              <w:rPr>
                <w:sz w:val="20"/>
                <w:szCs w:val="20"/>
              </w:rPr>
              <w:t>elérhetőek</w:t>
            </w:r>
            <w:r w:rsidRPr="00D65BD6">
              <w:rPr>
                <w:sz w:val="20"/>
                <w:szCs w:val="20"/>
              </w:rPr>
              <w:t xml:space="preserve"> </w:t>
            </w:r>
            <w:r w:rsidR="00F9711E" w:rsidRPr="00D65BD6">
              <w:rPr>
                <w:sz w:val="20"/>
                <w:szCs w:val="20"/>
              </w:rPr>
              <w:t>és</w:t>
            </w:r>
            <w:r w:rsidRPr="00D65BD6">
              <w:rPr>
                <w:sz w:val="20"/>
                <w:szCs w:val="20"/>
              </w:rPr>
              <w:t xml:space="preserve"> az abban kezelt adatok </w:t>
            </w:r>
            <w:r w:rsidR="00F9711E" w:rsidRPr="00D65BD6">
              <w:rPr>
                <w:sz w:val="20"/>
                <w:szCs w:val="20"/>
              </w:rPr>
              <w:t>felhasználhatóak</w:t>
            </w:r>
            <w:r w:rsidRPr="00D65BD6">
              <w:rPr>
                <w:sz w:val="20"/>
                <w:szCs w:val="20"/>
              </w:rPr>
              <w:t xml:space="preserve"> legyenek – </w:t>
            </w:r>
            <w:proofErr w:type="spellStart"/>
            <w:r w:rsidRPr="00D65BD6">
              <w:rPr>
                <w:i/>
                <w:iCs/>
                <w:sz w:val="20"/>
                <w:szCs w:val="20"/>
              </w:rPr>
              <w:t>Ibtv</w:t>
            </w:r>
            <w:proofErr w:type="spellEnd"/>
            <w:r w:rsidRPr="00D65BD6">
              <w:rPr>
                <w:i/>
                <w:iCs/>
                <w:sz w:val="20"/>
                <w:szCs w:val="20"/>
              </w:rPr>
              <w:t xml:space="preserve">. 1. § (1) </w:t>
            </w:r>
            <w:r w:rsidR="00F9711E" w:rsidRPr="00D65BD6">
              <w:rPr>
                <w:i/>
                <w:iCs/>
                <w:sz w:val="20"/>
                <w:szCs w:val="20"/>
              </w:rPr>
              <w:t>bekezdés</w:t>
            </w:r>
            <w:r w:rsidRPr="00D65BD6">
              <w:rPr>
                <w:i/>
                <w:iCs/>
                <w:sz w:val="20"/>
                <w:szCs w:val="20"/>
              </w:rPr>
              <w:t xml:space="preserve"> 38. pont.</w:t>
            </w:r>
          </w:p>
        </w:tc>
      </w:tr>
      <w:tr w:rsidR="00A1772A" w:rsidRPr="00D65BD6" w14:paraId="3D7A16F7" w14:textId="77777777" w:rsidTr="005077C3">
        <w:trPr>
          <w:trHeight w:val="320"/>
        </w:trPr>
        <w:tc>
          <w:tcPr>
            <w:tcW w:w="2263" w:type="dxa"/>
            <w:noWrap/>
            <w:hideMark/>
          </w:tcPr>
          <w:p w14:paraId="66D3809C" w14:textId="77777777" w:rsidR="00A1772A" w:rsidRPr="00D65BD6" w:rsidRDefault="00A1772A">
            <w:pPr>
              <w:rPr>
                <w:b/>
                <w:bCs/>
                <w:sz w:val="21"/>
                <w:szCs w:val="21"/>
              </w:rPr>
            </w:pPr>
            <w:r w:rsidRPr="00D65BD6">
              <w:rPr>
                <w:b/>
                <w:bCs/>
                <w:sz w:val="21"/>
                <w:szCs w:val="21"/>
              </w:rPr>
              <w:t>Sértetlenség</w:t>
            </w:r>
          </w:p>
        </w:tc>
        <w:tc>
          <w:tcPr>
            <w:tcW w:w="7235" w:type="dxa"/>
            <w:noWrap/>
            <w:hideMark/>
          </w:tcPr>
          <w:p w14:paraId="5AF9D555" w14:textId="26C516F2" w:rsidR="00A1772A" w:rsidRPr="00D65BD6" w:rsidRDefault="00743214">
            <w:pPr>
              <w:rPr>
                <w:sz w:val="20"/>
                <w:szCs w:val="20"/>
              </w:rPr>
            </w:pPr>
            <w:r w:rsidRPr="00743214">
              <w:rPr>
                <w:sz w:val="20"/>
                <w:szCs w:val="20"/>
              </w:rPr>
              <w:t xml:space="preserve">az adat tulajdonsága, amely arra vonatkozik, hogy az adat tartalma és tulajdonságai az elvárttal megegyeznek, ideértve a bizonyosságot abban, hogy az az elvárt forrásból származik (hitelesség), és a származás </w:t>
            </w:r>
            <w:proofErr w:type="spellStart"/>
            <w:r w:rsidRPr="00743214">
              <w:rPr>
                <w:sz w:val="20"/>
                <w:szCs w:val="20"/>
              </w:rPr>
              <w:t>ellenőrizhetőségét</w:t>
            </w:r>
            <w:proofErr w:type="spellEnd"/>
            <w:r w:rsidRPr="00743214">
              <w:rPr>
                <w:sz w:val="20"/>
                <w:szCs w:val="20"/>
              </w:rPr>
              <w:t xml:space="preserve">, bizonyosságát (letagadhatatlanságát) is, illetve az elektronikus információs rendszer elemeinek azon tulajdonságát, amely arra vonatkozik, hogy az elektronikus információs rendszer eleme rendeltetésének </w:t>
            </w:r>
            <w:proofErr w:type="spellStart"/>
            <w:r w:rsidRPr="00743214">
              <w:rPr>
                <w:sz w:val="20"/>
                <w:szCs w:val="20"/>
              </w:rPr>
              <w:t>megfelelően</w:t>
            </w:r>
            <w:proofErr w:type="spellEnd"/>
            <w:r w:rsidRPr="00743214">
              <w:rPr>
                <w:sz w:val="20"/>
                <w:szCs w:val="20"/>
              </w:rPr>
              <w:t xml:space="preserve"> használható – </w:t>
            </w:r>
            <w:proofErr w:type="spellStart"/>
            <w:r w:rsidRPr="00743214">
              <w:rPr>
                <w:i/>
                <w:iCs/>
                <w:sz w:val="20"/>
                <w:szCs w:val="20"/>
              </w:rPr>
              <w:t>Ibtv</w:t>
            </w:r>
            <w:proofErr w:type="spellEnd"/>
            <w:r w:rsidRPr="00743214">
              <w:rPr>
                <w:i/>
                <w:iCs/>
                <w:sz w:val="20"/>
                <w:szCs w:val="20"/>
              </w:rPr>
              <w:t>. 1. § (1) bekezdés 39. pont.</w:t>
            </w:r>
          </w:p>
        </w:tc>
      </w:tr>
      <w:tr w:rsidR="00EF7B1D" w:rsidRPr="00D65BD6" w14:paraId="7DE9E492" w14:textId="77777777" w:rsidTr="005077C3">
        <w:trPr>
          <w:trHeight w:val="320"/>
        </w:trPr>
        <w:tc>
          <w:tcPr>
            <w:tcW w:w="2263" w:type="dxa"/>
            <w:noWrap/>
          </w:tcPr>
          <w:p w14:paraId="040E4490" w14:textId="6394EBAB" w:rsidR="00EF7B1D" w:rsidRPr="00D65BD6" w:rsidRDefault="00EF7B1D">
            <w:pPr>
              <w:rPr>
                <w:b/>
                <w:bCs/>
                <w:sz w:val="21"/>
                <w:szCs w:val="21"/>
              </w:rPr>
            </w:pPr>
            <w:r w:rsidRPr="00D65BD6">
              <w:rPr>
                <w:b/>
                <w:bCs/>
                <w:sz w:val="21"/>
                <w:szCs w:val="21"/>
              </w:rPr>
              <w:t>Személyes adat</w:t>
            </w:r>
          </w:p>
        </w:tc>
        <w:tc>
          <w:tcPr>
            <w:tcW w:w="7235" w:type="dxa"/>
            <w:noWrap/>
          </w:tcPr>
          <w:p w14:paraId="3268EA1B" w14:textId="136BC05F" w:rsidR="00EF7B1D" w:rsidRPr="00D65BD6" w:rsidRDefault="00743214">
            <w:pPr>
              <w:rPr>
                <w:sz w:val="20"/>
                <w:szCs w:val="20"/>
              </w:rPr>
            </w:pPr>
            <w:r w:rsidRPr="00743214">
              <w:rPr>
                <w:sz w:val="20"/>
                <w:szCs w:val="20"/>
              </w:rPr>
              <w:t xml:space="preserve">azonosított vagy azonosítható természetes személyre („érintett”) vonatkozó bármely információ; azonosítható az a természetes személy, aki közvetlen vagy közvetett módon, különösen valamely azonosító, például név, szám, helymeghatározó adat, online </w:t>
            </w:r>
            <w:r w:rsidRPr="00743214">
              <w:rPr>
                <w:sz w:val="20"/>
                <w:szCs w:val="20"/>
              </w:rPr>
              <w:lastRenderedPageBreak/>
              <w:t xml:space="preserve">azonosító vagy a természetes személy testi, fiziológiai, genetikai, szellemi, gazdasági, kulturális vagy szociális azonosságára vonatkozó egy, vagy több </w:t>
            </w:r>
            <w:proofErr w:type="spellStart"/>
            <w:r w:rsidRPr="00743214">
              <w:rPr>
                <w:sz w:val="20"/>
                <w:szCs w:val="20"/>
              </w:rPr>
              <w:t>tényezo</w:t>
            </w:r>
            <w:proofErr w:type="spellEnd"/>
            <w:r w:rsidRPr="00743214">
              <w:rPr>
                <w:sz w:val="20"/>
                <w:szCs w:val="20"/>
              </w:rPr>
              <w:t>̋ alapján azonosítható</w:t>
            </w:r>
          </w:p>
        </w:tc>
      </w:tr>
    </w:tbl>
    <w:p w14:paraId="2E54AD36" w14:textId="11D2539B" w:rsidR="00503218" w:rsidRPr="00D65BD6" w:rsidRDefault="00503218" w:rsidP="008C2E17">
      <w:pPr>
        <w:pStyle w:val="Cmsor1"/>
      </w:pPr>
      <w:bookmarkStart w:id="3" w:name="_Toc128816715"/>
      <w:r w:rsidRPr="00D65BD6">
        <w:lastRenderedPageBreak/>
        <w:t>Bevezetés</w:t>
      </w:r>
      <w:bookmarkEnd w:id="3"/>
    </w:p>
    <w:p w14:paraId="650C4E89" w14:textId="7E026657" w:rsidR="00481981" w:rsidRPr="00D65BD6" w:rsidRDefault="00481981" w:rsidP="0095163D">
      <w:r w:rsidRPr="00D65BD6">
        <w:t xml:space="preserve">Az </w:t>
      </w:r>
      <w:proofErr w:type="spellStart"/>
      <w:r w:rsidRPr="00D65BD6">
        <w:t>Ibtv</w:t>
      </w:r>
      <w:proofErr w:type="spellEnd"/>
      <w:r w:rsidRPr="00D65BD6">
        <w:t xml:space="preserve">. </w:t>
      </w:r>
      <w:r w:rsidR="00363DF8" w:rsidRPr="00D65BD6">
        <w:t>hatálya alá tartozó</w:t>
      </w:r>
      <w:r w:rsidRPr="00D65BD6">
        <w:t xml:space="preserve"> szervezeteknek </w:t>
      </w:r>
      <w:r w:rsidR="00363DF8" w:rsidRPr="00D65BD6">
        <w:t>biztosítaniuk</w:t>
      </w:r>
      <w:r w:rsidRPr="00D65BD6">
        <w:t xml:space="preserve"> kell</w:t>
      </w:r>
      <w:r w:rsidR="00363DF8" w:rsidRPr="00D65BD6">
        <w:t xml:space="preserve"> az</w:t>
      </w:r>
      <w:r w:rsidRPr="00D65BD6">
        <w:t xml:space="preserve"> általuk használt elektronikus </w:t>
      </w:r>
      <w:r w:rsidR="00363DF8" w:rsidRPr="00D65BD6">
        <w:t>információs</w:t>
      </w:r>
      <w:r w:rsidRPr="00D65BD6">
        <w:t xml:space="preserve"> rendszer </w:t>
      </w:r>
      <w:r w:rsidR="00D45D0F">
        <w:t xml:space="preserve">(EIR) </w:t>
      </w:r>
      <w:r w:rsidR="00363DF8" w:rsidRPr="00D65BD6">
        <w:t>zártságát</w:t>
      </w:r>
      <w:r w:rsidRPr="00D65BD6">
        <w:t>, telje</w:t>
      </w:r>
      <w:r w:rsidR="00363DF8" w:rsidRPr="00D65BD6">
        <w:t>skörű</w:t>
      </w:r>
      <w:r w:rsidRPr="00D65BD6">
        <w:t xml:space="preserve">, folytonos </w:t>
      </w:r>
      <w:r w:rsidR="00363DF8" w:rsidRPr="00D65BD6">
        <w:t>és kockázatokkal arányos védelmét.</w:t>
      </w:r>
      <w:r w:rsidRPr="00D65BD6">
        <w:t xml:space="preserve"> </w:t>
      </w:r>
      <w:r w:rsidR="0095163D" w:rsidRPr="00D65BD6">
        <w:t>Az információs rendszereknek és azok elemeinek már a használatba vételük pillanatában rendelkezniük kell azokkal a képességekkel, amelyekkel biztosítani tudják a bennük tárolt adatok bizalmasságának, sértetlenségének és rendelkezésre állásának megőrzését. Ez a jogszabály szerinti elvárás olyan követelményeket támaszt az információs rendszerekkel szemben, amelyeknek be kell épülniük a rendszer funkcionalitását meghatározó elvárások közé, ellenkező esetben az információs rendszer nem, vagy csak utólagos többletráfordítások árán lesz képes megfelelni az előírt megfelelési kötelezettségnek.</w:t>
      </w:r>
    </w:p>
    <w:p w14:paraId="021CBA0E" w14:textId="34A2CFD8" w:rsidR="00503218" w:rsidRPr="00D65BD6" w:rsidRDefault="00503218" w:rsidP="00503218">
      <w:pPr>
        <w:pStyle w:val="Cmsor1"/>
      </w:pPr>
      <w:bookmarkStart w:id="4" w:name="_Toc128816716"/>
      <w:r w:rsidRPr="00D65BD6">
        <w:t>A dokumentum célja</w:t>
      </w:r>
      <w:bookmarkEnd w:id="4"/>
    </w:p>
    <w:p w14:paraId="23B069E9" w14:textId="23F60DFB" w:rsidR="00684E46" w:rsidRPr="00D65BD6" w:rsidRDefault="00503218" w:rsidP="00684E46">
      <w:pPr>
        <w:tabs>
          <w:tab w:val="left" w:pos="3091"/>
        </w:tabs>
      </w:pPr>
      <w:r w:rsidRPr="00D65BD6">
        <w:t xml:space="preserve">Jelen dokumentum </w:t>
      </w:r>
      <w:r w:rsidR="007A547D" w:rsidRPr="00D65BD6">
        <w:t xml:space="preserve">elsődleges </w:t>
      </w:r>
      <w:r w:rsidRPr="00D65BD6">
        <w:t>célja</w:t>
      </w:r>
      <w:r w:rsidR="00AF1AEA" w:rsidRPr="00D65BD6">
        <w:t xml:space="preserve">, hogy </w:t>
      </w:r>
      <w:r w:rsidR="003502AA" w:rsidRPr="00D65BD6">
        <w:t>útmutatót</w:t>
      </w:r>
      <w:r w:rsidR="008044E9" w:rsidRPr="00D65BD6">
        <w:t xml:space="preserve"> adjon</w:t>
      </w:r>
      <w:r w:rsidR="00B47E0C" w:rsidRPr="00D65BD6">
        <w:t xml:space="preserve"> </w:t>
      </w:r>
      <w:r w:rsidR="00AF1AEA" w:rsidRPr="00D65BD6">
        <w:t xml:space="preserve">a </w:t>
      </w:r>
      <w:r w:rsidR="00A05154" w:rsidRPr="00D65BD6">
        <w:t>beszerzendő/</w:t>
      </w:r>
      <w:r w:rsidR="00AF1AEA" w:rsidRPr="00D65BD6">
        <w:t xml:space="preserve">fejlesztendő </w:t>
      </w:r>
      <w:r w:rsidR="00D45D0F">
        <w:t xml:space="preserve">elektronikus </w:t>
      </w:r>
      <w:r w:rsidR="00AF1AEA" w:rsidRPr="00D65BD6">
        <w:t xml:space="preserve">információs </w:t>
      </w:r>
      <w:r w:rsidR="00D45D0F">
        <w:t>r</w:t>
      </w:r>
      <w:r w:rsidR="00AF1AEA" w:rsidRPr="00D65BD6">
        <w:t xml:space="preserve">endszer (továbbiakban </w:t>
      </w:r>
      <w:r w:rsidR="00D45D0F">
        <w:t>EIR</w:t>
      </w:r>
      <w:r w:rsidR="00AF1AEA" w:rsidRPr="00D65BD6">
        <w:t xml:space="preserve">) </w:t>
      </w:r>
      <w:r w:rsidR="007F5C55" w:rsidRPr="00D65BD6">
        <w:t>előzetes</w:t>
      </w:r>
      <w:r w:rsidR="00B96EEB" w:rsidRPr="00215624">
        <w:t xml:space="preserve">, </w:t>
      </w:r>
      <w:r w:rsidR="00B96EEB" w:rsidRPr="00B96EEB">
        <w:rPr>
          <w:rFonts w:asciiTheme="minorHAnsi" w:hAnsiTheme="minorHAnsi" w:cstheme="minorHAnsi"/>
        </w:rPr>
        <w:t>a követelmények specifikálási fázisában történő</w:t>
      </w:r>
      <w:r w:rsidR="007F5C55" w:rsidRPr="00D65BD6">
        <w:t xml:space="preserve"> </w:t>
      </w:r>
      <w:r w:rsidR="008044E9" w:rsidRPr="00D65BD6">
        <w:t xml:space="preserve">biztonsági </w:t>
      </w:r>
      <w:r w:rsidR="00AF1AEA" w:rsidRPr="00D65BD6">
        <w:t>osztályba</w:t>
      </w:r>
      <w:r w:rsidR="008044E9" w:rsidRPr="00D65BD6">
        <w:t xml:space="preserve"> </w:t>
      </w:r>
      <w:r w:rsidR="00AF1AEA" w:rsidRPr="00D65BD6">
        <w:t>sorolásá</w:t>
      </w:r>
      <w:r w:rsidR="008044E9" w:rsidRPr="00D65BD6">
        <w:t>hoz, ezáltal</w:t>
      </w:r>
      <w:r w:rsidR="00AF1AEA" w:rsidRPr="00D65BD6">
        <w:t xml:space="preserve"> </w:t>
      </w:r>
      <w:r w:rsidR="008C2E17" w:rsidRPr="00D65BD6">
        <w:t>támog</w:t>
      </w:r>
      <w:r w:rsidR="008044E9" w:rsidRPr="00D65BD6">
        <w:t>a</w:t>
      </w:r>
      <w:r w:rsidR="007A547D" w:rsidRPr="00D65BD6">
        <w:t>s</w:t>
      </w:r>
      <w:r w:rsidR="008044E9" w:rsidRPr="00D65BD6">
        <w:t>sa</w:t>
      </w:r>
      <w:r w:rsidR="007A547D" w:rsidRPr="00D65BD6">
        <w:t>,</w:t>
      </w:r>
      <w:r w:rsidR="008C2E17" w:rsidRPr="00D65BD6">
        <w:t xml:space="preserve"> </w:t>
      </w:r>
      <w:r w:rsidR="007A547D" w:rsidRPr="00D65BD6">
        <w:t xml:space="preserve">hogy </w:t>
      </w:r>
      <w:r w:rsidR="00435751" w:rsidRPr="00D65BD6">
        <w:t xml:space="preserve">a kockázati szinteknek megfelelően </w:t>
      </w:r>
      <w:r w:rsidR="007A547D" w:rsidRPr="00D65BD6">
        <w:t xml:space="preserve">az információbiztonsági követelmények </w:t>
      </w:r>
      <w:r w:rsidR="008044E9" w:rsidRPr="00D65BD6">
        <w:t xml:space="preserve">a Rendszer </w:t>
      </w:r>
      <w:r w:rsidR="007A547D" w:rsidRPr="00D65BD6">
        <w:t xml:space="preserve">életciklusának </w:t>
      </w:r>
      <w:r w:rsidR="00A1772A" w:rsidRPr="00D65BD6">
        <w:t>legelején</w:t>
      </w:r>
      <w:r w:rsidR="007A547D" w:rsidRPr="00D65BD6">
        <w:t xml:space="preserve"> azonosításra kerüljenek és </w:t>
      </w:r>
      <w:r w:rsidR="008044E9" w:rsidRPr="00D65BD6">
        <w:t xml:space="preserve">már a </w:t>
      </w:r>
      <w:r w:rsidR="00A05154" w:rsidRPr="00D65BD6">
        <w:t>specifikálási/</w:t>
      </w:r>
      <w:r w:rsidR="008044E9" w:rsidRPr="00D65BD6">
        <w:t xml:space="preserve">tervezési fázisban </w:t>
      </w:r>
      <w:r w:rsidR="007A547D" w:rsidRPr="00D65BD6">
        <w:t>teljeskörűen figyelembe legyenek véve.</w:t>
      </w:r>
      <w:r w:rsidR="002D5695" w:rsidRPr="00D65BD6">
        <w:t xml:space="preserve"> </w:t>
      </w:r>
      <w:r w:rsidR="00195C54" w:rsidRPr="00D65BD6">
        <w:t xml:space="preserve"> </w:t>
      </w:r>
    </w:p>
    <w:p w14:paraId="57299BFA" w14:textId="6EB04AC5" w:rsidR="003502AA" w:rsidRPr="00D65BD6" w:rsidRDefault="00684E46" w:rsidP="00503218">
      <w:pPr>
        <w:tabs>
          <w:tab w:val="left" w:pos="3091"/>
        </w:tabs>
      </w:pPr>
      <w:r w:rsidRPr="00D65BD6">
        <w:t xml:space="preserve">Az </w:t>
      </w:r>
      <w:r w:rsidR="00D45D0F">
        <w:t>EIR-</w:t>
      </w:r>
      <w:r w:rsidRPr="00D65BD6">
        <w:t>ek biztonsági osztályba sorolása egységes keretrendszert biztosít az információbiztonság növelésére tett törekvések hatékony irányításához és felügyeletéhez, lehetővé teszi a</w:t>
      </w:r>
      <w:r w:rsidR="00D45D0F">
        <w:t>z</w:t>
      </w:r>
      <w:r w:rsidRPr="00D65BD6">
        <w:t xml:space="preserve"> </w:t>
      </w:r>
      <w:r w:rsidR="00D45D0F">
        <w:t>EIR</w:t>
      </w:r>
      <w:r w:rsidR="00B56ABB">
        <w:t xml:space="preserve"> </w:t>
      </w:r>
      <w:r w:rsidRPr="00D65BD6">
        <w:t>védelmi képességeinek következetes meghatározását, mérését, ellenőrzését, valamint más rendszerek védelmi képességeivel való összehasonlítását.</w:t>
      </w:r>
    </w:p>
    <w:p w14:paraId="263A7CEA" w14:textId="7CF788B3" w:rsidR="001D22E4" w:rsidRPr="00D65BD6" w:rsidRDefault="00183C29" w:rsidP="001D22E4">
      <w:pPr>
        <w:pStyle w:val="Cmsor1"/>
      </w:pPr>
      <w:bookmarkStart w:id="5" w:name="_Toc128816717"/>
      <w:r w:rsidRPr="00D65BD6">
        <w:t>A</w:t>
      </w:r>
      <w:r w:rsidR="00034714">
        <w:t>z előzetes</w:t>
      </w:r>
      <w:r w:rsidRPr="00D65BD6">
        <w:t xml:space="preserve"> biztonsági osztályba sorolás folyamata</w:t>
      </w:r>
      <w:bookmarkEnd w:id="5"/>
    </w:p>
    <w:p w14:paraId="4A4EE01C" w14:textId="2DB8A3AD" w:rsidR="00C274B4" w:rsidRPr="00D65BD6" w:rsidRDefault="00C274B4" w:rsidP="001D22E4">
      <w:pPr>
        <w:tabs>
          <w:tab w:val="left" w:pos="3091"/>
        </w:tabs>
      </w:pPr>
      <w:r w:rsidRPr="00EE7FC1">
        <w:t xml:space="preserve">Az </w:t>
      </w:r>
      <w:r w:rsidR="00D45D0F">
        <w:t>EIR</w:t>
      </w:r>
      <w:r w:rsidRPr="00EE7FC1">
        <w:t xml:space="preserve"> védelmére fordított kiadások</w:t>
      </w:r>
      <w:r w:rsidR="00EE7FC1" w:rsidRPr="00EE7FC1">
        <w:t>nak arányosnak kell lenniük a felmerülő kockázatokkal</w:t>
      </w:r>
      <w:r w:rsidRPr="00EE7FC1">
        <w:t xml:space="preserve">, azaz csak a lehetségesen bekövetkező veszteségek és károk nagyságrendjével arányosan indokolt a védelemre költeni. </w:t>
      </w:r>
      <w:r w:rsidR="00EE7FC1" w:rsidRPr="00EE7FC1">
        <w:t>A</w:t>
      </w:r>
      <w:r w:rsidRPr="00EE7FC1">
        <w:t>z információs rendszer védelmé</w:t>
      </w:r>
      <w:r w:rsidR="00EE7FC1" w:rsidRPr="00EE7FC1">
        <w:t>nek kialakítására és fenntartására</w:t>
      </w:r>
      <w:r w:rsidRPr="00EE7FC1">
        <w:t xml:space="preserve"> </w:t>
      </w:r>
      <w:r w:rsidR="00EE7FC1" w:rsidRPr="00EE7FC1">
        <w:t xml:space="preserve">fordított költéségek </w:t>
      </w:r>
      <w:r w:rsidRPr="00EE7FC1">
        <w:t>a kezelt adatok</w:t>
      </w:r>
      <w:r w:rsidR="00EE7FC1" w:rsidRPr="00EE7FC1">
        <w:t>, valamint a</w:t>
      </w:r>
      <w:r w:rsidR="00D45D0F">
        <w:t>z</w:t>
      </w:r>
      <w:r w:rsidR="00EE7FC1" w:rsidRPr="00EE7FC1">
        <w:t xml:space="preserve"> </w:t>
      </w:r>
      <w:r w:rsidR="00D45D0F">
        <w:t>EIR</w:t>
      </w:r>
      <w:r w:rsidR="00D45D0F" w:rsidRPr="00EE7FC1">
        <w:t xml:space="preserve"> </w:t>
      </w:r>
      <w:r w:rsidR="00EE7FC1" w:rsidRPr="00EE7FC1">
        <w:t>elemeinek</w:t>
      </w:r>
      <w:r w:rsidRPr="00EE7FC1">
        <w:t xml:space="preserve"> a bizalmasságának, a sértetlenségének vagy a rendelkezésre állás</w:t>
      </w:r>
      <w:r w:rsidR="00EE7FC1" w:rsidRPr="00EE7FC1">
        <w:t>ának</w:t>
      </w:r>
      <w:r w:rsidRPr="00EE7FC1">
        <w:t xml:space="preserve"> elvesztésével okozott károk nagyságrendjével lehet megállapítani. </w:t>
      </w:r>
    </w:p>
    <w:p w14:paraId="7AB2E59A" w14:textId="2F7E7313" w:rsidR="001D22E4" w:rsidRPr="00D65BD6" w:rsidRDefault="000C1C91" w:rsidP="001D22E4">
      <w:pPr>
        <w:tabs>
          <w:tab w:val="left" w:pos="3091"/>
        </w:tabs>
      </w:pPr>
      <w:r w:rsidRPr="00D65BD6">
        <w:t>A</w:t>
      </w:r>
      <w:r w:rsidR="00034714">
        <w:t>z előzetes</w:t>
      </w:r>
      <w:r w:rsidRPr="00D65BD6">
        <w:t xml:space="preserve"> biztonsági osztályba sorolás tulajdonképpen az </w:t>
      </w:r>
      <w:r w:rsidR="00D45D0F">
        <w:t>EIR</w:t>
      </w:r>
      <w:r w:rsidRPr="00D65BD6">
        <w:t xml:space="preserve"> kockázatok figyelembevételére épülő elvárt védelmi erősségének meghatározása. </w:t>
      </w:r>
      <w:r w:rsidR="001D22E4" w:rsidRPr="00D65BD6">
        <w:t xml:space="preserve">Az elvárt védelmi erősség </w:t>
      </w:r>
      <w:r w:rsidR="0085515E" w:rsidRPr="00D65BD6">
        <w:t>előzetes, a</w:t>
      </w:r>
      <w:r w:rsidR="00D45D0F">
        <w:t>z</w:t>
      </w:r>
      <w:r w:rsidR="0085515E" w:rsidRPr="00D65BD6">
        <w:t xml:space="preserve"> </w:t>
      </w:r>
      <w:r w:rsidR="00D45D0F">
        <w:t>EI</w:t>
      </w:r>
      <w:r w:rsidR="0085515E" w:rsidRPr="00D65BD6">
        <w:t xml:space="preserve">R </w:t>
      </w:r>
      <w:proofErr w:type="spellStart"/>
      <w:r w:rsidR="0085515E" w:rsidRPr="00D65BD6">
        <w:t>koncepcionálási</w:t>
      </w:r>
      <w:proofErr w:type="spellEnd"/>
      <w:r w:rsidR="0085515E" w:rsidRPr="00D65BD6">
        <w:t xml:space="preserve"> fázisában történő</w:t>
      </w:r>
      <w:r w:rsidR="001D22E4" w:rsidRPr="00D65BD6">
        <w:t xml:space="preserve"> azonosítás</w:t>
      </w:r>
      <w:r w:rsidR="00DB2843" w:rsidRPr="00D65BD6">
        <w:t>ának</w:t>
      </w:r>
      <w:r w:rsidR="001D22E4" w:rsidRPr="00D65BD6">
        <w:t xml:space="preserve"> kettős célja, hogy</w:t>
      </w:r>
    </w:p>
    <w:p w14:paraId="3C1F39C2" w14:textId="211167E9" w:rsidR="001D22E4" w:rsidRPr="00D65BD6" w:rsidRDefault="001D22E4" w:rsidP="001D22E4">
      <w:pPr>
        <w:pStyle w:val="Listaszerbekezds"/>
        <w:numPr>
          <w:ilvl w:val="0"/>
          <w:numId w:val="19"/>
        </w:numPr>
        <w:tabs>
          <w:tab w:val="left" w:pos="3091"/>
        </w:tabs>
      </w:pPr>
      <w:r w:rsidRPr="00D65BD6">
        <w:t xml:space="preserve">a biztonsági szempontok </w:t>
      </w:r>
      <w:r w:rsidR="00DB2843" w:rsidRPr="00D65BD6">
        <w:t xml:space="preserve">és a kockázatokkal arányosan </w:t>
      </w:r>
      <w:r w:rsidRPr="00D65BD6">
        <w:t>elvárt védelmi mechanizmusok a</w:t>
      </w:r>
      <w:r w:rsidR="00D45D0F">
        <w:t>z</w:t>
      </w:r>
      <w:r w:rsidRPr="00D65BD6">
        <w:t xml:space="preserve"> </w:t>
      </w:r>
      <w:r w:rsidR="00D45D0F">
        <w:t>EI</w:t>
      </w:r>
      <w:r w:rsidRPr="00D65BD6">
        <w:t xml:space="preserve">R </w:t>
      </w:r>
      <w:r w:rsidR="00DB2843" w:rsidRPr="00D65BD6">
        <w:t xml:space="preserve">tervezésének, </w:t>
      </w:r>
      <w:r w:rsidRPr="00D65BD6">
        <w:t>belső kialakításának és működésének szerves részét képezzék, illetve</w:t>
      </w:r>
    </w:p>
    <w:p w14:paraId="124FE4E1" w14:textId="38B9F714" w:rsidR="00684E46" w:rsidRPr="00D65BD6" w:rsidRDefault="001D22E4" w:rsidP="00684E46">
      <w:pPr>
        <w:pStyle w:val="Listaszerbekezds"/>
        <w:numPr>
          <w:ilvl w:val="0"/>
          <w:numId w:val="19"/>
        </w:numPr>
        <w:tabs>
          <w:tab w:val="left" w:pos="3091"/>
        </w:tabs>
      </w:pPr>
      <w:r w:rsidRPr="00D65BD6">
        <w:t>a felhasználó és üzemeltető szervezet már a bevezetési projekt során</w:t>
      </w:r>
      <w:r w:rsidR="00DB2843" w:rsidRPr="00D65BD6">
        <w:t>, a</w:t>
      </w:r>
      <w:r w:rsidR="00D45D0F">
        <w:t>z</w:t>
      </w:r>
      <w:r w:rsidR="00DB2843" w:rsidRPr="00D65BD6">
        <w:t xml:space="preserve"> </w:t>
      </w:r>
      <w:r w:rsidR="00D45D0F">
        <w:t>EI</w:t>
      </w:r>
      <w:r w:rsidR="00DB2843" w:rsidRPr="00D65BD6">
        <w:t>R használatának megkezdése előtt</w:t>
      </w:r>
      <w:r w:rsidRPr="00D65BD6">
        <w:t xml:space="preserve"> fel tudjon készülni a</w:t>
      </w:r>
      <w:r w:rsidR="00D45D0F">
        <w:t>z EIR</w:t>
      </w:r>
      <w:r w:rsidRPr="00D65BD6">
        <w:t xml:space="preserve"> további életszakasz</w:t>
      </w:r>
      <w:r w:rsidR="00DB2843" w:rsidRPr="00D65BD6">
        <w:t>ai</w:t>
      </w:r>
      <w:r w:rsidRPr="00D65BD6">
        <w:t>ban elvárt védelmi intézkedések megfelelő kialakítására és működtetésére.</w:t>
      </w:r>
    </w:p>
    <w:p w14:paraId="65638786" w14:textId="77777777" w:rsidR="00634A4A" w:rsidRPr="00D65BD6" w:rsidRDefault="00634A4A" w:rsidP="001D22E4">
      <w:pPr>
        <w:contextualSpacing/>
      </w:pPr>
    </w:p>
    <w:p w14:paraId="577197B2" w14:textId="703D9FEF" w:rsidR="00150184" w:rsidRPr="00D65BD6" w:rsidRDefault="00150184" w:rsidP="00503218">
      <w:pPr>
        <w:tabs>
          <w:tab w:val="left" w:pos="3091"/>
        </w:tabs>
      </w:pPr>
      <w:r w:rsidRPr="00D65BD6">
        <w:t>A</w:t>
      </w:r>
      <w:r w:rsidR="00D45D0F">
        <w:t>z EI</w:t>
      </w:r>
      <w:r w:rsidR="00CD71F8" w:rsidRPr="00D65BD6">
        <w:t>R</w:t>
      </w:r>
      <w:r w:rsidR="00034714">
        <w:t xml:space="preserve"> előzetes</w:t>
      </w:r>
      <w:r w:rsidRPr="00D65BD6">
        <w:t xml:space="preserve"> </w:t>
      </w:r>
      <w:r w:rsidR="00634A4A" w:rsidRPr="00D65BD6">
        <w:t>biztonsági osztályba</w:t>
      </w:r>
      <w:r w:rsidR="00730F53" w:rsidRPr="00D65BD6">
        <w:t xml:space="preserve"> </w:t>
      </w:r>
      <w:r w:rsidR="00634A4A" w:rsidRPr="00D65BD6">
        <w:t>sorolása</w:t>
      </w:r>
      <w:r w:rsidR="00CD71F8" w:rsidRPr="00D65BD6">
        <w:t xml:space="preserve"> </w:t>
      </w:r>
      <w:r w:rsidR="00634A4A" w:rsidRPr="00D65BD6">
        <w:t xml:space="preserve">az alábbi </w:t>
      </w:r>
      <w:r w:rsidR="00CD71F8" w:rsidRPr="00D65BD6">
        <w:t>lépése</w:t>
      </w:r>
      <w:r w:rsidR="00634A4A" w:rsidRPr="00D65BD6">
        <w:t>k végrehajtásával történhet:</w:t>
      </w:r>
    </w:p>
    <w:p w14:paraId="277B862D" w14:textId="48DA52B7" w:rsidR="00CB1F92" w:rsidRPr="00D65BD6" w:rsidRDefault="00FD078F" w:rsidP="00C274B4">
      <w:pPr>
        <w:tabs>
          <w:tab w:val="left" w:pos="3091"/>
        </w:tabs>
      </w:pPr>
      <w:r w:rsidRPr="00D65BD6">
        <w:rPr>
          <w:noProof/>
          <w:lang w:eastAsia="hu-HU"/>
        </w:rPr>
        <w:drawing>
          <wp:inline distT="0" distB="0" distL="0" distR="0" wp14:anchorId="3CC9F9B9" wp14:editId="793900A0">
            <wp:extent cx="5486400" cy="692063"/>
            <wp:effectExtent l="19050" t="0" r="381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1DB1D16" w14:textId="7E02FE2B" w:rsidR="00CB1F92" w:rsidRPr="00D65BD6" w:rsidRDefault="00CB1F92" w:rsidP="009D7693">
      <w:r w:rsidRPr="00D65BD6">
        <w:t>Az osztályba sorolás részletes szabályait 41/2015. (VII. 15.) BM rendelet tartalmazza. A rendelettel összhangban a</w:t>
      </w:r>
      <w:r w:rsidR="00034714">
        <w:t>z előzetes</w:t>
      </w:r>
      <w:r w:rsidRPr="00D65BD6">
        <w:t xml:space="preserve"> biztonsági osztályba sorolás alkalmával</w:t>
      </w:r>
      <w:r w:rsidR="00D45D0F">
        <w:t xml:space="preserve"> az</w:t>
      </w:r>
      <w:r w:rsidR="00A7488A">
        <w:t xml:space="preserve"> </w:t>
      </w:r>
      <w:r w:rsidR="00D45D0F">
        <w:t>EI</w:t>
      </w:r>
      <w:r w:rsidR="00A7488A">
        <w:t>R</w:t>
      </w:r>
      <w:r w:rsidRPr="00D65BD6">
        <w:t xml:space="preserve"> vagy az általa kezelt adatok bizalmasságának, sértetlenségének vagy rendelkezésre állásának kockázata alapján 1-től 5-ig számozott fokozatot kell alkalmazni</w:t>
      </w:r>
      <w:r w:rsidR="00D67977">
        <w:t>. A</w:t>
      </w:r>
      <w:r w:rsidRPr="00D65BD6">
        <w:t xml:space="preserve"> számozás emelkedésével párhuzamosan </w:t>
      </w:r>
      <w:r w:rsidR="00D67977" w:rsidRPr="00D65BD6">
        <w:t>szigorod</w:t>
      </w:r>
      <w:r w:rsidR="00D67977">
        <w:t>nak a</w:t>
      </w:r>
      <w:r w:rsidR="00D45D0F">
        <w:t>z</w:t>
      </w:r>
      <w:r w:rsidR="00D67977">
        <w:t xml:space="preserve"> </w:t>
      </w:r>
      <w:r w:rsidR="00D45D0F">
        <w:t>EI</w:t>
      </w:r>
      <w:r w:rsidR="00D67977">
        <w:t>R</w:t>
      </w:r>
      <w:r w:rsidR="00D45D0F">
        <w:t>-</w:t>
      </w:r>
      <w:r w:rsidR="00D67977">
        <w:t xml:space="preserve">re vonatkozó védelmi </w:t>
      </w:r>
      <w:r w:rsidR="00F265C2">
        <w:t>intézkedések</w:t>
      </w:r>
      <w:r w:rsidRPr="00D65BD6">
        <w:t xml:space="preserve">. </w:t>
      </w:r>
    </w:p>
    <w:p w14:paraId="4C2FFEE2" w14:textId="28319B58" w:rsidR="00CB1F92" w:rsidRPr="00C122C4" w:rsidRDefault="00730F53" w:rsidP="00C122C4">
      <w:pPr>
        <w:tabs>
          <w:tab w:val="left" w:pos="3091"/>
        </w:tabs>
      </w:pPr>
      <w:r w:rsidRPr="00D65BD6">
        <w:t>A</w:t>
      </w:r>
      <w:r w:rsidR="00D45D0F">
        <w:t>z</w:t>
      </w:r>
      <w:r w:rsidR="00DE3930">
        <w:t xml:space="preserve"> </w:t>
      </w:r>
      <w:r w:rsidR="00D45D0F">
        <w:t>EI</w:t>
      </w:r>
      <w:r w:rsidR="00DE3930">
        <w:t xml:space="preserve">R </w:t>
      </w:r>
      <w:r w:rsidR="003D12CC">
        <w:t xml:space="preserve">előzetes </w:t>
      </w:r>
      <w:r w:rsidRPr="00D65BD6">
        <w:t xml:space="preserve">biztonsági osztályba sorolását az </w:t>
      </w:r>
      <w:r w:rsidR="00D45D0F">
        <w:t>EIR-</w:t>
      </w:r>
      <w:r w:rsidRPr="00D65BD6">
        <w:t xml:space="preserve">ek biztonságáért felelős személy készíti elő és az adott </w:t>
      </w:r>
      <w:r w:rsidR="00D45D0F">
        <w:t>EIR</w:t>
      </w:r>
      <w:r w:rsidR="00D45D0F" w:rsidRPr="00D65BD6">
        <w:t xml:space="preserve"> </w:t>
      </w:r>
      <w:r w:rsidRPr="00D65BD6">
        <w:t xml:space="preserve">adatgazdájával, valamint a szervezet adatvédelmi tisztviselőjével együttműködésben végzi el. </w:t>
      </w:r>
      <w:r w:rsidR="00DE3930">
        <w:t>Amiatt, hogy a</w:t>
      </w:r>
      <w:r w:rsidR="00D45D0F">
        <w:t>z</w:t>
      </w:r>
      <w:r w:rsidR="00DE3930">
        <w:t xml:space="preserve"> </w:t>
      </w:r>
      <w:r w:rsidR="00D45D0F">
        <w:t>EIR-</w:t>
      </w:r>
      <w:proofErr w:type="spellStart"/>
      <w:r w:rsidR="00D45D0F">
        <w:t>rel</w:t>
      </w:r>
      <w:proofErr w:type="spellEnd"/>
      <w:r w:rsidR="00D45D0F">
        <w:t xml:space="preserve"> </w:t>
      </w:r>
      <w:r w:rsidR="00DE3930">
        <w:t>kapcsolatos védelmi és információbiztonsági követelmények beépüljenek a</w:t>
      </w:r>
      <w:r w:rsidR="00D45D0F">
        <w:t>z</w:t>
      </w:r>
      <w:r w:rsidR="00DE3930">
        <w:t xml:space="preserve"> </w:t>
      </w:r>
      <w:r w:rsidR="00D45D0F">
        <w:t>EI</w:t>
      </w:r>
      <w:r w:rsidR="00F033F7">
        <w:t xml:space="preserve">R tervezési alapjául szolgáló követelményspecifikációba, műszaki leírásba, </w:t>
      </w:r>
      <w:r w:rsidR="00DE3930" w:rsidRPr="00D65BD6">
        <w:t xml:space="preserve">szervezeti </w:t>
      </w:r>
      <w:r w:rsidR="00F033F7" w:rsidRPr="00D65BD6">
        <w:t>oldalról</w:t>
      </w:r>
      <w:r w:rsidR="00DE3930" w:rsidRPr="00D65BD6">
        <w:t xml:space="preserve"> </w:t>
      </w:r>
      <w:r w:rsidR="00F033F7" w:rsidRPr="00D65BD6">
        <w:t>megköveteli</w:t>
      </w:r>
      <w:r w:rsidR="00DE3930" w:rsidRPr="00D65BD6">
        <w:t xml:space="preserve">, hogy az elektronikus </w:t>
      </w:r>
      <w:proofErr w:type="spellStart"/>
      <w:r w:rsidR="00DE3930" w:rsidRPr="00D65BD6">
        <w:t>információbiztonságért</w:t>
      </w:r>
      <w:proofErr w:type="spellEnd"/>
      <w:r w:rsidR="00DE3930" w:rsidRPr="00D65BD6">
        <w:t xml:space="preserve"> </w:t>
      </w:r>
      <w:r w:rsidR="00F033F7" w:rsidRPr="00D65BD6">
        <w:t>felelős</w:t>
      </w:r>
      <w:r w:rsidR="00DE3930" w:rsidRPr="00D65BD6">
        <w:t xml:space="preserve"> </w:t>
      </w:r>
      <w:r w:rsidR="00F033F7" w:rsidRPr="00D65BD6">
        <w:t>személyt</w:t>
      </w:r>
      <w:r w:rsidR="00F033F7">
        <w:t xml:space="preserve"> </w:t>
      </w:r>
      <w:r w:rsidR="00F033F7" w:rsidRPr="00D65BD6">
        <w:t>már</w:t>
      </w:r>
      <w:r w:rsidR="00DE3930" w:rsidRPr="00D65BD6">
        <w:t xml:space="preserve"> </w:t>
      </w:r>
      <w:proofErr w:type="spellStart"/>
      <w:r w:rsidR="00F033F7">
        <w:t>koncepcionálási</w:t>
      </w:r>
      <w:proofErr w:type="spellEnd"/>
      <w:r w:rsidR="00DE3930" w:rsidRPr="00D65BD6">
        <w:t xml:space="preserve"> szakaszban </w:t>
      </w:r>
      <w:r w:rsidR="00F033F7" w:rsidRPr="00D65BD6">
        <w:t>bevonják</w:t>
      </w:r>
      <w:r w:rsidR="00DE3930" w:rsidRPr="00D65BD6">
        <w:t xml:space="preserve"> az </w:t>
      </w:r>
      <w:r w:rsidR="00F033F7" w:rsidRPr="00D65BD6">
        <w:t>új</w:t>
      </w:r>
      <w:r w:rsidR="00DE3930" w:rsidRPr="00D65BD6">
        <w:t xml:space="preserve"> </w:t>
      </w:r>
      <w:r w:rsidR="00F033F7" w:rsidRPr="00D65BD6">
        <w:t>beszerzésekbe</w:t>
      </w:r>
      <w:r w:rsidR="00DE3930" w:rsidRPr="00D65BD6">
        <w:t xml:space="preserve">, illetve a </w:t>
      </w:r>
      <w:r w:rsidR="00F033F7" w:rsidRPr="00D65BD6">
        <w:t>fejlesztési</w:t>
      </w:r>
      <w:r w:rsidR="00DE3930" w:rsidRPr="00D65BD6">
        <w:t xml:space="preserve"> </w:t>
      </w:r>
      <w:r w:rsidR="00F033F7" w:rsidRPr="00D65BD6">
        <w:t>prioritások</w:t>
      </w:r>
      <w:r w:rsidR="00DE3930" w:rsidRPr="00D65BD6">
        <w:t xml:space="preserve"> </w:t>
      </w:r>
      <w:proofErr w:type="spellStart"/>
      <w:r w:rsidR="00DE3930" w:rsidRPr="00D65BD6">
        <w:t>meghatározásába</w:t>
      </w:r>
      <w:proofErr w:type="spellEnd"/>
      <w:r w:rsidR="00F033F7">
        <w:t>.</w:t>
      </w:r>
      <w:r w:rsidR="00DE3930" w:rsidRPr="00D65BD6">
        <w:t xml:space="preserve"> </w:t>
      </w:r>
    </w:p>
    <w:p w14:paraId="358D9F66" w14:textId="2DBFAB95" w:rsidR="00DD5E5D" w:rsidRPr="00D65BD6" w:rsidRDefault="00DD5E5D" w:rsidP="00730F53">
      <w:pPr>
        <w:tabs>
          <w:tab w:val="left" w:pos="3091"/>
        </w:tabs>
      </w:pPr>
      <w:r w:rsidRPr="00D65BD6">
        <w:t>Az olyan szoftverek</w:t>
      </w:r>
      <w:r w:rsidR="00A5576E" w:rsidRPr="00D65BD6">
        <w:t xml:space="preserve"> és hardvermegoldások</w:t>
      </w:r>
      <w:r w:rsidRPr="00D65BD6">
        <w:t xml:space="preserve"> esetében, amelyek az általuk kezelt adatok vagy a bennük megvalósított funkciók alapján nem minősülnek önálló </w:t>
      </w:r>
      <w:r w:rsidR="00D45D0F">
        <w:t>EIR-</w:t>
      </w:r>
      <w:proofErr w:type="spellStart"/>
      <w:r w:rsidRPr="00D65BD6">
        <w:t>nek</w:t>
      </w:r>
      <w:proofErr w:type="spellEnd"/>
      <w:r w:rsidRPr="00D65BD6">
        <w:t xml:space="preserve"> </w:t>
      </w:r>
      <w:r w:rsidR="00A5576E" w:rsidRPr="00D65BD6">
        <w:t xml:space="preserve">nem kell adatosztályozást elvégezni. Szoftverek esetében </w:t>
      </w:r>
      <w:r w:rsidRPr="00D65BD6">
        <w:t xml:space="preserve">ilyenek például az </w:t>
      </w:r>
      <w:r w:rsidR="00BB7E54" w:rsidRPr="00D65BD6">
        <w:t xml:space="preserve">irodai szoftverek, </w:t>
      </w:r>
      <w:r w:rsidRPr="00D65BD6">
        <w:t>operációs rendszerek, segédprogramok</w:t>
      </w:r>
      <w:r w:rsidR="00E77A80" w:rsidRPr="00D65BD6">
        <w:t>,</w:t>
      </w:r>
      <w:r w:rsidR="00A5576E" w:rsidRPr="00D65BD6">
        <w:t xml:space="preserve"> hardver</w:t>
      </w:r>
      <w:r w:rsidR="00E77A80" w:rsidRPr="00D65BD6">
        <w:t>es megoldások</w:t>
      </w:r>
      <w:r w:rsidR="00A5576E" w:rsidRPr="00D65BD6">
        <w:t xml:space="preserve"> esetében a tűzfalak, </w:t>
      </w:r>
      <w:proofErr w:type="spellStart"/>
      <w:r w:rsidR="00A5576E" w:rsidRPr="00D65BD6">
        <w:t>switchek</w:t>
      </w:r>
      <w:proofErr w:type="spellEnd"/>
      <w:r w:rsidR="00A5576E" w:rsidRPr="00D65BD6">
        <w:t>, routerek, szerverek, mentőeszközök.</w:t>
      </w:r>
    </w:p>
    <w:p w14:paraId="06126B64" w14:textId="72E645E4" w:rsidR="00F815A4" w:rsidRPr="00D65BD6" w:rsidRDefault="00007A9E" w:rsidP="006F6AEC">
      <w:pPr>
        <w:pStyle w:val="Cmsor2"/>
      </w:pPr>
      <w:bookmarkStart w:id="6" w:name="_Toc128816718"/>
      <w:r w:rsidRPr="00D65BD6">
        <w:t>A</w:t>
      </w:r>
      <w:r w:rsidR="006778E5">
        <w:t xml:space="preserve">z </w:t>
      </w:r>
      <w:r w:rsidR="006778E5" w:rsidRPr="00A1772A">
        <w:t xml:space="preserve">adatok </w:t>
      </w:r>
      <w:r w:rsidR="006778E5">
        <w:t>azonosítása</w:t>
      </w:r>
      <w:r w:rsidR="006778E5" w:rsidRPr="00A1772A">
        <w:t>, adatvagyon felmérése</w:t>
      </w:r>
      <w:bookmarkEnd w:id="6"/>
    </w:p>
    <w:p w14:paraId="13912A61" w14:textId="2D263870" w:rsidR="00007A9E" w:rsidRPr="00D65BD6" w:rsidRDefault="0042076A" w:rsidP="0042076A">
      <w:r w:rsidRPr="00D65BD6">
        <w:t>A</w:t>
      </w:r>
      <w:r w:rsidR="00034714">
        <w:t>z előzetes</w:t>
      </w:r>
      <w:r w:rsidRPr="00D65BD6">
        <w:t xml:space="preserve"> biztonsági osztályba sorolás első lépéseként </w:t>
      </w:r>
      <w:r w:rsidR="00097EA3" w:rsidRPr="00D65BD6">
        <w:t>azonosítani kell, hogy a</w:t>
      </w:r>
      <w:r w:rsidR="00D45D0F">
        <w:t>z</w:t>
      </w:r>
      <w:r w:rsidR="00097EA3" w:rsidRPr="00D65BD6">
        <w:t xml:space="preserve"> </w:t>
      </w:r>
      <w:r w:rsidR="00D45D0F">
        <w:t>EI</w:t>
      </w:r>
      <w:r w:rsidR="00097EA3" w:rsidRPr="00D65BD6">
        <w:t xml:space="preserve">R </w:t>
      </w:r>
    </w:p>
    <w:p w14:paraId="1F90FD13" w14:textId="5E8852FB" w:rsidR="00315587" w:rsidRPr="00D65BD6" w:rsidRDefault="00315587" w:rsidP="00097EA3">
      <w:pPr>
        <w:pStyle w:val="Listaszerbekezds"/>
        <w:numPr>
          <w:ilvl w:val="0"/>
          <w:numId w:val="18"/>
        </w:numPr>
      </w:pPr>
      <w:r w:rsidRPr="00D65BD6">
        <w:t xml:space="preserve">milyen adatokat kezel </w:t>
      </w:r>
      <w:r w:rsidR="00097EA3" w:rsidRPr="00D65BD6">
        <w:t>a működése során</w:t>
      </w:r>
    </w:p>
    <w:p w14:paraId="051700DA" w14:textId="2B118983" w:rsidR="00097EA3" w:rsidRPr="00D65BD6" w:rsidRDefault="00097EA3" w:rsidP="00097EA3">
      <w:pPr>
        <w:pStyle w:val="Listaszerbekezds"/>
        <w:numPr>
          <w:ilvl w:val="0"/>
          <w:numId w:val="18"/>
        </w:numPr>
      </w:pPr>
      <w:r w:rsidRPr="00D65BD6">
        <w:t>a meghatározott adatok milyen kategóriába tartoznak (személyes adat, különleges adat, bűnügyi személyes adat, közérdekű adat, közérdekből nyilvános adat, minősített adat)</w:t>
      </w:r>
    </w:p>
    <w:p w14:paraId="5AD522E8" w14:textId="4D64BD8D" w:rsidR="00097EA3" w:rsidRPr="00D65BD6" w:rsidRDefault="00097EA3" w:rsidP="00097EA3">
      <w:pPr>
        <w:pStyle w:val="Listaszerbekezds"/>
        <w:numPr>
          <w:ilvl w:val="0"/>
          <w:numId w:val="18"/>
        </w:numPr>
      </w:pPr>
      <w:r w:rsidRPr="00D65BD6">
        <w:t>az azonosított adatok</w:t>
      </w:r>
      <w:r w:rsidR="007F5163">
        <w:t xml:space="preserve"> </w:t>
      </w:r>
      <w:r w:rsidRPr="00D65BD6">
        <w:t>milyen mennyiségben kerülnek a</w:t>
      </w:r>
      <w:r w:rsidR="00D45D0F">
        <w:t>z</w:t>
      </w:r>
      <w:r w:rsidRPr="00D65BD6">
        <w:t xml:space="preserve"> </w:t>
      </w:r>
      <w:r w:rsidR="00D45D0F">
        <w:t>EIR-</w:t>
      </w:r>
      <w:r w:rsidR="00D45D0F" w:rsidRPr="00D65BD6">
        <w:t xml:space="preserve">be </w:t>
      </w:r>
      <w:r w:rsidR="00B872C7" w:rsidRPr="00D65BD6">
        <w:t>(csekély, közepes, nagy, jelentős mennyiség)</w:t>
      </w:r>
    </w:p>
    <w:p w14:paraId="4859A90D" w14:textId="13BC6225" w:rsidR="00634A4A" w:rsidRPr="00D65BD6" w:rsidRDefault="005126CE" w:rsidP="00007A9E">
      <w:r>
        <w:t>A kezelt adatok teljeskörű felmérése érdekében érdemes a</w:t>
      </w:r>
      <w:r w:rsidR="00D45D0F">
        <w:t>z</w:t>
      </w:r>
      <w:r>
        <w:t xml:space="preserve"> </w:t>
      </w:r>
      <w:r w:rsidR="00D45D0F">
        <w:t>EI</w:t>
      </w:r>
      <w:r>
        <w:t>R által támogatandó üzleti és üzemeltetési folyamatokat azonosítani, majd meghatározni a folyamatok</w:t>
      </w:r>
      <w:r w:rsidR="009F57E6">
        <w:t xml:space="preserve"> működtetésében érintett </w:t>
      </w:r>
      <w:r>
        <w:t xml:space="preserve">funkciókat. Az </w:t>
      </w:r>
      <w:r w:rsidR="00D45D0F">
        <w:t>EI</w:t>
      </w:r>
      <w:r>
        <w:t>R által támogatott folyamatok és funkciók leltára alapot adhat a kezelt adatok teljeskörű meghatározásához.</w:t>
      </w:r>
      <w:r w:rsidR="00664FBB">
        <w:t xml:space="preserve"> A</w:t>
      </w:r>
      <w:r w:rsidR="00207D0E">
        <w:t>z</w:t>
      </w:r>
      <w:r w:rsidR="00664FBB">
        <w:t xml:space="preserve"> </w:t>
      </w:r>
      <w:r w:rsidR="00207D0E">
        <w:t>EI</w:t>
      </w:r>
      <w:r w:rsidR="00664FBB">
        <w:t xml:space="preserve">R által kezelt adatvagyonelemek leltárának készítésekor különösen figyelni kell a jogszabályok által definiált adatkategóriákba tartozó adatok azonosítására.  </w:t>
      </w:r>
      <w:r w:rsidR="002911EF" w:rsidRPr="00D65BD6">
        <w:t xml:space="preserve">A </w:t>
      </w:r>
      <w:r w:rsidR="00664FBB">
        <w:t>személyes</w:t>
      </w:r>
      <w:r w:rsidR="002911EF" w:rsidRPr="00D65BD6">
        <w:t xml:space="preserve"> adatkezelési és feldolgozási tevékenységhez kapcsolódó</w:t>
      </w:r>
      <w:r w:rsidR="00664FBB">
        <w:t>an a jogszabály</w:t>
      </w:r>
      <w:r w:rsidR="002911EF" w:rsidRPr="00D65BD6">
        <w:t xml:space="preserve"> nyilvántartási kötelezettséget ír elő valamennyi elvégzett adatkezelési tevékenység esetében</w:t>
      </w:r>
      <w:r w:rsidR="002911EF" w:rsidRPr="00D65BD6">
        <w:rPr>
          <w:rStyle w:val="Lbjegyzet-hivatkozs"/>
        </w:rPr>
        <w:footnoteReference w:id="1"/>
      </w:r>
      <w:r w:rsidR="002911EF" w:rsidRPr="00D65BD6">
        <w:t>. A</w:t>
      </w:r>
      <w:r w:rsidR="00207D0E">
        <w:t>z</w:t>
      </w:r>
      <w:r w:rsidR="002911EF" w:rsidRPr="00D65BD6">
        <w:t xml:space="preserve"> </w:t>
      </w:r>
      <w:r w:rsidR="00207D0E">
        <w:t>EI</w:t>
      </w:r>
      <w:r w:rsidR="002911EF" w:rsidRPr="00D65BD6">
        <w:t>R által kezelt adatok azonosítása támogatja a szervezet ezen nyilvántartási kötelezettségének teljesítését is.</w:t>
      </w:r>
    </w:p>
    <w:p w14:paraId="3B37E549" w14:textId="6A75D13B" w:rsidR="00315587" w:rsidRPr="00B2627E" w:rsidRDefault="00E27D5C" w:rsidP="00B2627E">
      <w:pPr>
        <w:pStyle w:val="Cmsor2"/>
      </w:pPr>
      <w:bookmarkStart w:id="7" w:name="_Toc128816719"/>
      <w:r w:rsidRPr="00B2627E">
        <w:lastRenderedPageBreak/>
        <w:t>F</w:t>
      </w:r>
      <w:r w:rsidR="00315587" w:rsidRPr="00B2627E">
        <w:t>enyegetettségek meghatározása</w:t>
      </w:r>
      <w:bookmarkEnd w:id="7"/>
    </w:p>
    <w:p w14:paraId="0C61631D" w14:textId="3D0DF0D2" w:rsidR="00B47E0C" w:rsidRPr="00D65BD6" w:rsidRDefault="001D22E4" w:rsidP="006B2000">
      <w:r w:rsidRPr="00D65BD6">
        <w:t>A</w:t>
      </w:r>
      <w:r w:rsidR="00207D0E">
        <w:t>z</w:t>
      </w:r>
      <w:r w:rsidRPr="00D65BD6">
        <w:t xml:space="preserve"> </w:t>
      </w:r>
      <w:r w:rsidR="00207D0E">
        <w:t>EIR</w:t>
      </w:r>
      <w:r w:rsidR="00207D0E" w:rsidRPr="00D65BD6">
        <w:t xml:space="preserve"> </w:t>
      </w:r>
      <w:r w:rsidR="00034714">
        <w:t xml:space="preserve">előzetes </w:t>
      </w:r>
      <w:r w:rsidR="00E77A80" w:rsidRPr="00D65BD6">
        <w:t>biztonsági</w:t>
      </w:r>
      <w:r w:rsidRPr="00D65BD6">
        <w:t xml:space="preserve"> </w:t>
      </w:r>
      <w:r w:rsidR="00E77A80" w:rsidRPr="00D65BD6">
        <w:t>osztályba</w:t>
      </w:r>
      <w:r w:rsidRPr="00D65BD6">
        <w:t xml:space="preserve"> </w:t>
      </w:r>
      <w:r w:rsidR="00E77A80" w:rsidRPr="00D65BD6">
        <w:t>sorolását</w:t>
      </w:r>
      <w:r w:rsidR="00D45DAF" w:rsidRPr="00D65BD6">
        <w:t xml:space="preserve"> </w:t>
      </w:r>
      <w:r w:rsidR="001C1946">
        <w:t xml:space="preserve">előzetes </w:t>
      </w:r>
      <w:r w:rsidR="00D45DAF" w:rsidRPr="00D65BD6">
        <w:t xml:space="preserve">kockázatelemzés alapján kell elvégezni. </w:t>
      </w:r>
      <w:r w:rsidRPr="00D65BD6">
        <w:t xml:space="preserve">A </w:t>
      </w:r>
      <w:r w:rsidR="00E77A80" w:rsidRPr="00D65BD6">
        <w:t>jogszabály</w:t>
      </w:r>
      <w:r w:rsidRPr="00D65BD6">
        <w:rPr>
          <w:rStyle w:val="Lbjegyzet-hivatkozs"/>
        </w:rPr>
        <w:footnoteReference w:id="2"/>
      </w:r>
      <w:r w:rsidR="00D45DAF" w:rsidRPr="00D65BD6">
        <w:t xml:space="preserve"> </w:t>
      </w:r>
      <w:r w:rsidRPr="00D65BD6">
        <w:t>a</w:t>
      </w:r>
      <w:r w:rsidR="00E77A80" w:rsidRPr="00D65BD6">
        <w:t>zt is lehetővé teszi a szervezetek számára, hogy a</w:t>
      </w:r>
      <w:r w:rsidRPr="00D65BD6">
        <w:t xml:space="preserve"> </w:t>
      </w:r>
      <w:r w:rsidR="00E77A80" w:rsidRPr="00D65BD6">
        <w:t>biztonsági osztályba sorolást</w:t>
      </w:r>
      <w:r w:rsidRPr="00D65BD6">
        <w:t xml:space="preserve"> </w:t>
      </w:r>
      <w:r w:rsidR="00E77A80" w:rsidRPr="00D65BD6">
        <w:t>saját</w:t>
      </w:r>
      <w:r w:rsidRPr="00D65BD6">
        <w:t xml:space="preserve"> </w:t>
      </w:r>
      <w:proofErr w:type="spellStart"/>
      <w:r w:rsidRPr="00D65BD6">
        <w:t>kockázatelemzési</w:t>
      </w:r>
      <w:proofErr w:type="spellEnd"/>
      <w:r w:rsidRPr="00D65BD6">
        <w:t xml:space="preserve"> </w:t>
      </w:r>
      <w:r w:rsidR="00E77A80" w:rsidRPr="00D65BD6">
        <w:t>módszertan</w:t>
      </w:r>
      <w:r w:rsidRPr="00D65BD6">
        <w:t xml:space="preserve"> </w:t>
      </w:r>
      <w:r w:rsidR="00E77A80" w:rsidRPr="00D65BD6">
        <w:t>alapján</w:t>
      </w:r>
      <w:r w:rsidRPr="00D65BD6">
        <w:t xml:space="preserve"> </w:t>
      </w:r>
      <w:r w:rsidR="00E77A80" w:rsidRPr="00D65BD6">
        <w:t>készítsék el. Ebben az esetben is célszerű kialakítani a jogszabályban felsorolt szempontok és a saját módszertan elemei közötti megfelelést.</w:t>
      </w:r>
    </w:p>
    <w:p w14:paraId="1B1B3456" w14:textId="42B300DF" w:rsidR="006B2000" w:rsidRPr="00D65BD6" w:rsidRDefault="00E77A80" w:rsidP="006B2000">
      <w:r w:rsidRPr="00D65BD6">
        <w:t>A kockázatok meghatározása a</w:t>
      </w:r>
      <w:r w:rsidR="00207D0E">
        <w:t>z</w:t>
      </w:r>
      <w:r w:rsidRPr="00D65BD6">
        <w:t xml:space="preserve"> </w:t>
      </w:r>
      <w:r w:rsidR="00207D0E">
        <w:t>EI</w:t>
      </w:r>
      <w:r w:rsidRPr="00D65BD6">
        <w:t>R</w:t>
      </w:r>
      <w:r w:rsidR="00207D0E">
        <w:t>-</w:t>
      </w:r>
      <w:r w:rsidRPr="00D65BD6">
        <w:t>re vonatkozó, illetve az általa kezelt adatok bizalmasságára, sértetlenségére, és rendelkezésre állásával kapcsolatos fenyegetettségek azonosításával kezdődik.</w:t>
      </w:r>
      <w:r w:rsidR="008535E2" w:rsidRPr="00D65BD6">
        <w:t xml:space="preserve"> Fenyeget</w:t>
      </w:r>
      <w:r w:rsidR="00166235" w:rsidRPr="00D65BD6">
        <w:t>ettség</w:t>
      </w:r>
      <w:r w:rsidR="008535E2" w:rsidRPr="00D65BD6">
        <w:t>nek hívjuk az olyan külső vagy belső irányultságú, kockázatot hordozó tényezőket, lehetséges műveletet, eseményt</w:t>
      </w:r>
      <w:r w:rsidR="00166235" w:rsidRPr="00D65BD6">
        <w:t xml:space="preserve"> vagy</w:t>
      </w:r>
      <w:r w:rsidR="008535E2" w:rsidRPr="00D65BD6">
        <w:t xml:space="preserve"> </w:t>
      </w:r>
      <w:proofErr w:type="spellStart"/>
      <w:r w:rsidR="008535E2" w:rsidRPr="00D65BD6">
        <w:t>mulasztásos</w:t>
      </w:r>
      <w:proofErr w:type="spellEnd"/>
      <w:r w:rsidR="008535E2" w:rsidRPr="00D65BD6">
        <w:t xml:space="preserve"> cselekményt, amely sértheti az </w:t>
      </w:r>
      <w:r w:rsidR="00207D0E">
        <w:t>EIR</w:t>
      </w:r>
      <w:r w:rsidR="00166235" w:rsidRPr="00D65BD6">
        <w:t>, vagy valamely elemének</w:t>
      </w:r>
      <w:r w:rsidR="008535E2" w:rsidRPr="00D65BD6">
        <w:t xml:space="preserve"> </w:t>
      </w:r>
      <w:proofErr w:type="spellStart"/>
      <w:r w:rsidR="008535E2" w:rsidRPr="00D65BD6">
        <w:t>védettségét</w:t>
      </w:r>
      <w:proofErr w:type="spellEnd"/>
      <w:r w:rsidR="008535E2" w:rsidRPr="00D65BD6">
        <w:t>, biztonságát.</w:t>
      </w:r>
      <w:r w:rsidR="00E77782" w:rsidRPr="00D65BD6">
        <w:t xml:space="preserve"> </w:t>
      </w:r>
      <w:r w:rsidR="006B2000" w:rsidRPr="00D65BD6">
        <w:t xml:space="preserve">A </w:t>
      </w:r>
      <w:r w:rsidR="008535E2" w:rsidRPr="00D65BD6">
        <w:t>fenyeget</w:t>
      </w:r>
      <w:r w:rsidR="00166235" w:rsidRPr="00D65BD6">
        <w:t>ettségek</w:t>
      </w:r>
      <w:r w:rsidR="006B2000" w:rsidRPr="00D65BD6">
        <w:t xml:space="preserve"> feltárása az eddigi tapasztalatok felhasználásával, illetve a</w:t>
      </w:r>
      <w:r w:rsidR="00207D0E">
        <w:t>z</w:t>
      </w:r>
      <w:r w:rsidR="006B2000" w:rsidRPr="00D65BD6">
        <w:t xml:space="preserve"> </w:t>
      </w:r>
      <w:r w:rsidR="00207D0E">
        <w:t>EIR</w:t>
      </w:r>
      <w:r w:rsidR="00207D0E" w:rsidRPr="00D65BD6">
        <w:t xml:space="preserve"> </w:t>
      </w:r>
      <w:r w:rsidR="006B2000" w:rsidRPr="00D65BD6">
        <w:t>elemzéséből felderített hiányosságok számbavételével történhet. Az egyes veszélyforrásokat, kockázatokat helyzetfelméréssel tudjuk meghatározni. A helyzetfelmérés történhet:</w:t>
      </w:r>
    </w:p>
    <w:p w14:paraId="7DB37B50" w14:textId="52EDB540" w:rsidR="006B2000" w:rsidRPr="00D65BD6" w:rsidRDefault="005D0569" w:rsidP="006B2000">
      <w:pPr>
        <w:pStyle w:val="Listaszerbekezds"/>
        <w:numPr>
          <w:ilvl w:val="0"/>
          <w:numId w:val="12"/>
        </w:numPr>
      </w:pPr>
      <w:r w:rsidRPr="00D65BD6">
        <w:t>f</w:t>
      </w:r>
      <w:r w:rsidR="006B2000" w:rsidRPr="00D65BD6">
        <w:t>enyegetettség modellezéssel</w:t>
      </w:r>
    </w:p>
    <w:p w14:paraId="698EB57B" w14:textId="68355243" w:rsidR="006B2000" w:rsidRPr="00D65BD6" w:rsidRDefault="005D0569" w:rsidP="006B2000">
      <w:pPr>
        <w:pStyle w:val="Listaszerbekezds"/>
        <w:numPr>
          <w:ilvl w:val="0"/>
          <w:numId w:val="12"/>
        </w:numPr>
      </w:pPr>
      <w:r w:rsidRPr="00D65BD6">
        <w:t>d</w:t>
      </w:r>
      <w:r w:rsidR="006B2000" w:rsidRPr="00D65BD6">
        <w:t xml:space="preserve">okumentumok </w:t>
      </w:r>
      <w:r w:rsidRPr="00D65BD6">
        <w:t>elemzésével</w:t>
      </w:r>
      <w:r w:rsidR="006B2000" w:rsidRPr="00D65BD6">
        <w:t xml:space="preserve"> (a</w:t>
      </w:r>
      <w:r w:rsidR="00207D0E">
        <w:t>z</w:t>
      </w:r>
      <w:r w:rsidR="006B2000" w:rsidRPr="00D65BD6">
        <w:t xml:space="preserve"> </w:t>
      </w:r>
      <w:r w:rsidR="00207D0E">
        <w:t>EIR</w:t>
      </w:r>
      <w:r w:rsidR="00207D0E" w:rsidRPr="00D65BD6">
        <w:t xml:space="preserve"> </w:t>
      </w:r>
      <w:r w:rsidR="00166235" w:rsidRPr="00D65BD6">
        <w:t>funkcionális követelményeinek felülvizsgálata</w:t>
      </w:r>
      <w:r w:rsidR="006B2000" w:rsidRPr="00D65BD6">
        <w:t xml:space="preserve">, </w:t>
      </w:r>
      <w:r w:rsidRPr="00D65BD6">
        <w:t>szabályzatok</w:t>
      </w:r>
      <w:r w:rsidR="006B2000" w:rsidRPr="00D65BD6">
        <w:t xml:space="preserve">, </w:t>
      </w:r>
      <w:r w:rsidRPr="00D65BD6">
        <w:t>dokumentációk</w:t>
      </w:r>
      <w:r w:rsidR="006B2000" w:rsidRPr="00D65BD6">
        <w:t xml:space="preserve"> </w:t>
      </w:r>
      <w:r w:rsidRPr="00D65BD6">
        <w:t>vizsgálata</w:t>
      </w:r>
      <w:r w:rsidR="006B2000" w:rsidRPr="00D65BD6">
        <w:t>);</w:t>
      </w:r>
    </w:p>
    <w:p w14:paraId="22D50E9F" w14:textId="138EA354" w:rsidR="006B2000" w:rsidRPr="00D65BD6" w:rsidRDefault="005D0569" w:rsidP="006B2000">
      <w:pPr>
        <w:pStyle w:val="Listaszerbekezds"/>
        <w:numPr>
          <w:ilvl w:val="0"/>
          <w:numId w:val="12"/>
        </w:numPr>
      </w:pPr>
      <w:r w:rsidRPr="00D65BD6">
        <w:t>interjúkkal</w:t>
      </w:r>
      <w:r w:rsidR="006B2000" w:rsidRPr="00D65BD6">
        <w:t xml:space="preserve">, csoportos </w:t>
      </w:r>
      <w:r w:rsidRPr="00D65BD6">
        <w:t>módszerekkel</w:t>
      </w:r>
      <w:r w:rsidR="006B2000" w:rsidRPr="00D65BD6">
        <w:t>;</w:t>
      </w:r>
    </w:p>
    <w:p w14:paraId="7ACF15A6" w14:textId="1A1850BC" w:rsidR="006B2000" w:rsidRPr="00D65BD6" w:rsidRDefault="006B2000" w:rsidP="005D0569">
      <w:pPr>
        <w:pStyle w:val="Listaszerbekezds"/>
        <w:numPr>
          <w:ilvl w:val="0"/>
          <w:numId w:val="12"/>
        </w:numPr>
      </w:pPr>
      <w:r w:rsidRPr="00D65BD6">
        <w:t xml:space="preserve">„mi lenne, ha” </w:t>
      </w:r>
      <w:r w:rsidR="005D0569" w:rsidRPr="00D65BD6">
        <w:t>és</w:t>
      </w:r>
      <w:r w:rsidRPr="00D65BD6">
        <w:t xml:space="preserve"> </w:t>
      </w:r>
      <w:proofErr w:type="spellStart"/>
      <w:r w:rsidRPr="00D65BD6">
        <w:t>forgatókönyv-elemzés</w:t>
      </w:r>
      <w:proofErr w:type="spellEnd"/>
      <w:r w:rsidRPr="00D65BD6">
        <w:t xml:space="preserve"> </w:t>
      </w:r>
      <w:r w:rsidR="005D0569" w:rsidRPr="00D65BD6">
        <w:t>módszerével</w:t>
      </w:r>
      <w:r w:rsidRPr="00D65BD6">
        <w:t xml:space="preserve"> (a </w:t>
      </w:r>
      <w:r w:rsidR="005D0569" w:rsidRPr="00D65BD6">
        <w:t>stratégiai</w:t>
      </w:r>
      <w:r w:rsidRPr="00D65BD6">
        <w:t xml:space="preserve"> </w:t>
      </w:r>
      <w:proofErr w:type="spellStart"/>
      <w:r w:rsidRPr="00D65BD6">
        <w:t>kockázatok</w:t>
      </w:r>
      <w:proofErr w:type="spellEnd"/>
      <w:r w:rsidRPr="00D65BD6">
        <w:t xml:space="preserve"> </w:t>
      </w:r>
      <w:r w:rsidR="005D0569" w:rsidRPr="00D65BD6">
        <w:t>és</w:t>
      </w:r>
      <w:r w:rsidRPr="00D65BD6">
        <w:t xml:space="preserve"> a</w:t>
      </w:r>
      <w:r w:rsidR="005D0569" w:rsidRPr="00D65BD6">
        <w:t xml:space="preserve"> </w:t>
      </w:r>
      <w:r w:rsidRPr="00D65BD6">
        <w:t>folyamatok</w:t>
      </w:r>
      <w:r w:rsidR="005D0569" w:rsidRPr="00D65BD6">
        <w:t xml:space="preserve"> </w:t>
      </w:r>
      <w:proofErr w:type="spellStart"/>
      <w:r w:rsidRPr="00D65BD6">
        <w:t>azonosítására</w:t>
      </w:r>
      <w:proofErr w:type="spellEnd"/>
      <w:r w:rsidRPr="00D65BD6">
        <w:t>);</w:t>
      </w:r>
    </w:p>
    <w:p w14:paraId="757E6901" w14:textId="2CA2D551" w:rsidR="006B2000" w:rsidRPr="00D65BD6" w:rsidRDefault="005D0569" w:rsidP="006B2000">
      <w:pPr>
        <w:pStyle w:val="Listaszerbekezds"/>
        <w:numPr>
          <w:ilvl w:val="0"/>
          <w:numId w:val="12"/>
        </w:numPr>
      </w:pPr>
      <w:r w:rsidRPr="00D65BD6">
        <w:t>szemlével</w:t>
      </w:r>
      <w:r w:rsidR="006B2000" w:rsidRPr="00D65BD6">
        <w:t>.</w:t>
      </w:r>
    </w:p>
    <w:p w14:paraId="0D8F3431" w14:textId="1D642EA3" w:rsidR="006B2000" w:rsidRPr="00D65BD6" w:rsidRDefault="006B2000" w:rsidP="006B2000">
      <w:r w:rsidRPr="00D65BD6">
        <w:t xml:space="preserve">A </w:t>
      </w:r>
      <w:r w:rsidR="008535E2" w:rsidRPr="00D65BD6">
        <w:t>fenyeget</w:t>
      </w:r>
      <w:r w:rsidR="00166235" w:rsidRPr="00D65BD6">
        <w:t>ettségek</w:t>
      </w:r>
      <w:r w:rsidRPr="00D65BD6">
        <w:t xml:space="preserve"> </w:t>
      </w:r>
      <w:r w:rsidR="00005C74" w:rsidRPr="00D65BD6">
        <w:t>listájának</w:t>
      </w:r>
      <w:r w:rsidRPr="00D65BD6">
        <w:t xml:space="preserve"> </w:t>
      </w:r>
      <w:proofErr w:type="spellStart"/>
      <w:r w:rsidRPr="00D65BD6">
        <w:t>összeállításakor</w:t>
      </w:r>
      <w:proofErr w:type="spellEnd"/>
      <w:r w:rsidRPr="00D65BD6">
        <w:t xml:space="preserve"> </w:t>
      </w:r>
      <w:proofErr w:type="spellStart"/>
      <w:r w:rsidRPr="00D65BD6">
        <w:t>törekedni</w:t>
      </w:r>
      <w:proofErr w:type="spellEnd"/>
      <w:r w:rsidRPr="00D65BD6">
        <w:t xml:space="preserve"> kell</w:t>
      </w:r>
      <w:r w:rsidR="008535E2" w:rsidRPr="00D65BD6">
        <w:t xml:space="preserve"> arra, hogy</w:t>
      </w:r>
      <w:r w:rsidRPr="00D65BD6">
        <w:t xml:space="preserve"> </w:t>
      </w:r>
      <w:r w:rsidR="008535E2" w:rsidRPr="00D65BD6">
        <w:t>minden</w:t>
      </w:r>
      <w:r w:rsidRPr="00D65BD6">
        <w:t xml:space="preserve"> </w:t>
      </w:r>
      <w:r w:rsidR="008535E2" w:rsidRPr="00D65BD6">
        <w:t>releváns</w:t>
      </w:r>
      <w:r w:rsidRPr="00D65BD6">
        <w:t xml:space="preserve"> </w:t>
      </w:r>
      <w:proofErr w:type="spellStart"/>
      <w:r w:rsidRPr="00D65BD6">
        <w:t>számításba</w:t>
      </w:r>
      <w:proofErr w:type="spellEnd"/>
      <w:r w:rsidRPr="00D65BD6">
        <w:t xml:space="preserve"> </w:t>
      </w:r>
      <w:r w:rsidR="008535E2" w:rsidRPr="00D65BD6">
        <w:t>jöhet</w:t>
      </w:r>
      <w:r w:rsidR="00166235" w:rsidRPr="00D65BD6">
        <w:t xml:space="preserve">ő </w:t>
      </w:r>
      <w:proofErr w:type="spellStart"/>
      <w:r w:rsidR="008535E2" w:rsidRPr="00D65BD6">
        <w:t>veszélyforrás</w:t>
      </w:r>
      <w:proofErr w:type="spellEnd"/>
      <w:r w:rsidRPr="00D65BD6">
        <w:t xml:space="preserve"> </w:t>
      </w:r>
      <w:r w:rsidR="008535E2" w:rsidRPr="00D65BD6">
        <w:t>azonosításra kerüljön</w:t>
      </w:r>
      <w:r w:rsidRPr="00D65BD6">
        <w:t xml:space="preserve">. Az esetleg </w:t>
      </w:r>
      <w:r w:rsidR="008535E2" w:rsidRPr="00D65BD6">
        <w:t>kimarad</w:t>
      </w:r>
      <w:r w:rsidR="00166235" w:rsidRPr="00D65BD6">
        <w:t>ó</w:t>
      </w:r>
      <w:r w:rsidRPr="00D65BD6">
        <w:t xml:space="preserve"> </w:t>
      </w:r>
      <w:proofErr w:type="spellStart"/>
      <w:r w:rsidR="008535E2" w:rsidRPr="00D65BD6">
        <w:t>veszélyforrások</w:t>
      </w:r>
      <w:proofErr w:type="spellEnd"/>
      <w:r w:rsidRPr="00D65BD6">
        <w:t xml:space="preserve"> </w:t>
      </w:r>
      <w:r w:rsidR="008535E2" w:rsidRPr="00D65BD6">
        <w:t>maradék</w:t>
      </w:r>
      <w:r w:rsidRPr="00D65BD6">
        <w:t xml:space="preserve"> </w:t>
      </w:r>
      <w:proofErr w:type="spellStart"/>
      <w:r w:rsidRPr="00D65BD6">
        <w:t>kockázatként</w:t>
      </w:r>
      <w:proofErr w:type="spellEnd"/>
      <w:r w:rsidRPr="00D65BD6">
        <w:t xml:space="preserve"> </w:t>
      </w:r>
      <w:proofErr w:type="spellStart"/>
      <w:r w:rsidRPr="00D65BD6">
        <w:t>kezelhetjük</w:t>
      </w:r>
      <w:proofErr w:type="spellEnd"/>
      <w:r w:rsidRPr="00D65BD6">
        <w:t>.</w:t>
      </w:r>
    </w:p>
    <w:p w14:paraId="4593F2CE" w14:textId="360154F1" w:rsidR="00005C74" w:rsidRPr="00D65BD6" w:rsidRDefault="00005C74" w:rsidP="00005C74">
      <w:r w:rsidRPr="00D65BD6">
        <w:t xml:space="preserve">A </w:t>
      </w:r>
      <w:r w:rsidR="00D65BD6" w:rsidRPr="00D65BD6">
        <w:t>fenyegetettségek</w:t>
      </w:r>
      <w:r w:rsidRPr="00D65BD6">
        <w:t xml:space="preserve"> </w:t>
      </w:r>
      <w:r w:rsidR="00D65BD6" w:rsidRPr="00D65BD6">
        <w:t>megjelenésének többféle rétegét különböztethetjük meg</w:t>
      </w:r>
      <w:r w:rsidRPr="00D65BD6">
        <w:t>:</w:t>
      </w:r>
    </w:p>
    <w:p w14:paraId="7E40C63E" w14:textId="5BB885B1" w:rsidR="00005C74" w:rsidRPr="00D65BD6" w:rsidRDefault="00005C74" w:rsidP="007E1A14">
      <w:pPr>
        <w:pStyle w:val="Listaszerbekezds"/>
        <w:numPr>
          <w:ilvl w:val="0"/>
          <w:numId w:val="23"/>
        </w:numPr>
      </w:pPr>
      <w:r w:rsidRPr="00D65BD6">
        <w:t xml:space="preserve">az adat, </w:t>
      </w:r>
      <w:r w:rsidR="00D65BD6" w:rsidRPr="00D65BD6">
        <w:t>informáci</w:t>
      </w:r>
      <w:r w:rsidR="007E1A14">
        <w:t>ó</w:t>
      </w:r>
      <w:r w:rsidRPr="00D65BD6">
        <w:t xml:space="preserve"> (pl. </w:t>
      </w:r>
      <w:r w:rsidR="00D65BD6" w:rsidRPr="00D65BD6">
        <w:t xml:space="preserve">illetéktelen </w:t>
      </w:r>
      <w:proofErr w:type="spellStart"/>
      <w:r w:rsidRPr="00D65BD6">
        <w:t>hozzáférés</w:t>
      </w:r>
      <w:proofErr w:type="spellEnd"/>
      <w:r w:rsidR="00D65BD6">
        <w:t>, módosítás</w:t>
      </w:r>
      <w:r w:rsidRPr="00D65BD6">
        <w:t>),</w:t>
      </w:r>
    </w:p>
    <w:p w14:paraId="160230A3" w14:textId="1F1B946B" w:rsidR="00005C74" w:rsidRPr="00D65BD6" w:rsidRDefault="00005C74" w:rsidP="007E1A14">
      <w:pPr>
        <w:pStyle w:val="Listaszerbekezds"/>
        <w:numPr>
          <w:ilvl w:val="0"/>
          <w:numId w:val="23"/>
        </w:numPr>
      </w:pPr>
      <w:r w:rsidRPr="00D65BD6">
        <w:t xml:space="preserve">az </w:t>
      </w:r>
      <w:r w:rsidR="00D65BD6" w:rsidRPr="00D65BD6">
        <w:t>infrastruktúra</w:t>
      </w:r>
      <w:r w:rsidRPr="00D65BD6">
        <w:t xml:space="preserve"> (pl. </w:t>
      </w:r>
      <w:r w:rsidR="00D65BD6" w:rsidRPr="00D65BD6">
        <w:t xml:space="preserve">szoftver sérülékenységek </w:t>
      </w:r>
      <w:proofErr w:type="spellStart"/>
      <w:r w:rsidR="00D65BD6" w:rsidRPr="00D65BD6">
        <w:t>kezeletlensége</w:t>
      </w:r>
      <w:proofErr w:type="spellEnd"/>
      <w:r w:rsidRPr="00D65BD6">
        <w:t xml:space="preserve">, </w:t>
      </w:r>
      <w:r w:rsidR="00D65BD6" w:rsidRPr="00D65BD6">
        <w:t>karbantartások elmaradása</w:t>
      </w:r>
      <w:r w:rsidRPr="00D65BD6">
        <w:t>),</w:t>
      </w:r>
    </w:p>
    <w:p w14:paraId="6D109748" w14:textId="6DB20A81" w:rsidR="00005C74" w:rsidRPr="007E1A14" w:rsidRDefault="00005C74" w:rsidP="007E1A14">
      <w:pPr>
        <w:pStyle w:val="Listaszerbekezds"/>
        <w:numPr>
          <w:ilvl w:val="0"/>
          <w:numId w:val="23"/>
        </w:numPr>
      </w:pPr>
      <w:r w:rsidRPr="007E1A14">
        <w:t xml:space="preserve">a fizikai </w:t>
      </w:r>
      <w:r w:rsidR="007E1A14">
        <w:t>környezet</w:t>
      </w:r>
      <w:r w:rsidRPr="007E1A14">
        <w:t xml:space="preserve"> (pl. </w:t>
      </w:r>
      <w:r w:rsidR="007E1A14" w:rsidRPr="007E1A14">
        <w:t xml:space="preserve">redundáns </w:t>
      </w:r>
      <w:proofErr w:type="spellStart"/>
      <w:r w:rsidRPr="007E1A14">
        <w:t>áramellátás</w:t>
      </w:r>
      <w:proofErr w:type="spellEnd"/>
      <w:r w:rsidRPr="007E1A14">
        <w:t xml:space="preserve">, </w:t>
      </w:r>
      <w:proofErr w:type="spellStart"/>
      <w:r w:rsidRPr="007E1A14">
        <w:t>tűzvédelem</w:t>
      </w:r>
      <w:proofErr w:type="spellEnd"/>
      <w:r w:rsidR="00D65BD6" w:rsidRPr="007E1A14">
        <w:t xml:space="preserve"> hiánya</w:t>
      </w:r>
      <w:r w:rsidRPr="007E1A14">
        <w:t>)</w:t>
      </w:r>
    </w:p>
    <w:p w14:paraId="02850EC3" w14:textId="03F54253" w:rsidR="00005C74" w:rsidRPr="007E1A14" w:rsidRDefault="00005C74" w:rsidP="007E1A14">
      <w:pPr>
        <w:pStyle w:val="Listaszerbekezds"/>
        <w:numPr>
          <w:ilvl w:val="0"/>
          <w:numId w:val="23"/>
        </w:numPr>
      </w:pPr>
      <w:r w:rsidRPr="007E1A14">
        <w:t xml:space="preserve">az emberi </w:t>
      </w:r>
      <w:r w:rsidR="007E1A14">
        <w:t>tényezők</w:t>
      </w:r>
      <w:r w:rsidRPr="007E1A14">
        <w:t xml:space="preserve"> (pl. </w:t>
      </w:r>
      <w:r w:rsidR="007E1A14" w:rsidRPr="007E1A14">
        <w:t>hanyagság</w:t>
      </w:r>
      <w:r w:rsidRPr="007E1A14">
        <w:t xml:space="preserve">, ismeret </w:t>
      </w:r>
      <w:r w:rsidR="007E1A14" w:rsidRPr="007E1A14">
        <w:t>hiány</w:t>
      </w:r>
      <w:r w:rsidRPr="007E1A14">
        <w:t xml:space="preserve">, </w:t>
      </w:r>
      <w:r w:rsidR="007E1A14" w:rsidRPr="007E1A14">
        <w:t>szándékos</w:t>
      </w:r>
      <w:r w:rsidRPr="007E1A14">
        <w:t xml:space="preserve"> </w:t>
      </w:r>
      <w:proofErr w:type="spellStart"/>
      <w:r w:rsidRPr="007E1A14">
        <w:t>károkozás</w:t>
      </w:r>
      <w:proofErr w:type="spellEnd"/>
      <w:r w:rsidRPr="007E1A14">
        <w:t>).</w:t>
      </w:r>
    </w:p>
    <w:p w14:paraId="06B43380" w14:textId="60A1B9B7" w:rsidR="004632B1" w:rsidRPr="00D65BD6" w:rsidRDefault="002F304A" w:rsidP="002F304A">
      <w:r>
        <w:t>A fenyegetettségek rangsorolása szükséges a</w:t>
      </w:r>
      <w:r w:rsidR="001C1946">
        <w:t>z előzetes</w:t>
      </w:r>
      <w:r>
        <w:t xml:space="preserve"> kockázatelemzés megfelelő elvégzéséhez. </w:t>
      </w:r>
      <w:r w:rsidR="004632B1" w:rsidRPr="00B2627E">
        <w:t xml:space="preserve">A nem megfelelően </w:t>
      </w:r>
      <w:r w:rsidR="00B2627E">
        <w:t xml:space="preserve">vagy teljeskörűen </w:t>
      </w:r>
      <w:r w:rsidR="004632B1" w:rsidRPr="00B2627E">
        <w:t>elvégzett kockázatértékelés esetén a</w:t>
      </w:r>
      <w:r w:rsidR="00207D0E">
        <w:t>z</w:t>
      </w:r>
      <w:r w:rsidR="00B2627E">
        <w:t xml:space="preserve"> </w:t>
      </w:r>
      <w:r w:rsidR="00207D0E">
        <w:t>EI</w:t>
      </w:r>
      <w:r w:rsidR="00B2627E">
        <w:t xml:space="preserve">R </w:t>
      </w:r>
      <w:r w:rsidR="00207D0E">
        <w:t xml:space="preserve">előzetes </w:t>
      </w:r>
      <w:r w:rsidR="00B2627E">
        <w:t>biztonsági</w:t>
      </w:r>
      <w:r w:rsidR="004632B1" w:rsidRPr="00B2627E">
        <w:t xml:space="preserve"> </w:t>
      </w:r>
      <w:r w:rsidR="00B2627E">
        <w:t xml:space="preserve">osztálya </w:t>
      </w:r>
      <w:r w:rsidR="004632B1" w:rsidRPr="00B2627E">
        <w:t>megállapított elvárt védelmi erősség - többletköltség vagy az adatokkal kapcsolatos kockázatok kezeletlenül maradnak.</w:t>
      </w:r>
    </w:p>
    <w:p w14:paraId="156C8DB4" w14:textId="430BF827" w:rsidR="00315587" w:rsidRPr="00D65BD6" w:rsidRDefault="00BC581C" w:rsidP="00B2627E">
      <w:pPr>
        <w:pStyle w:val="Cmsor2"/>
      </w:pPr>
      <w:bookmarkStart w:id="8" w:name="_Toc128816720"/>
      <w:r>
        <w:t>Kockázatok értékelése</w:t>
      </w:r>
      <w:bookmarkEnd w:id="8"/>
    </w:p>
    <w:p w14:paraId="537AFBAB" w14:textId="51D6D9BA" w:rsidR="00374D52" w:rsidRDefault="00D3507D" w:rsidP="00D3507D">
      <w:pPr>
        <w:tabs>
          <w:tab w:val="left" w:pos="3091"/>
        </w:tabs>
      </w:pPr>
      <w:r w:rsidRPr="00D3507D">
        <w:t>A</w:t>
      </w:r>
      <w:r>
        <w:t>hogy azt korábban említettük, a</w:t>
      </w:r>
      <w:r w:rsidR="00207D0E">
        <w:t>z</w:t>
      </w:r>
      <w:r>
        <w:t xml:space="preserve"> </w:t>
      </w:r>
      <w:r w:rsidR="00207D0E">
        <w:t>EI</w:t>
      </w:r>
      <w:r>
        <w:t xml:space="preserve">R </w:t>
      </w:r>
      <w:r w:rsidR="009514EB" w:rsidRPr="009514EB">
        <w:t>biztonsági</w:t>
      </w:r>
      <w:r w:rsidR="006A3334" w:rsidRPr="009514EB">
        <w:t xml:space="preserve"> </w:t>
      </w:r>
      <w:r w:rsidR="009514EB" w:rsidRPr="009514EB">
        <w:t>osztály</w:t>
      </w:r>
      <w:r>
        <w:t>ának</w:t>
      </w:r>
      <w:r w:rsidR="006A3334" w:rsidRPr="009514EB">
        <w:t xml:space="preserve"> megállapítása a 41/2015 BM rendelet 2. mellékletében felsorolt </w:t>
      </w:r>
      <w:r w:rsidR="009514EB">
        <w:t>káresemények</w:t>
      </w:r>
      <w:r w:rsidR="006A3334" w:rsidRPr="009514EB">
        <w:t xml:space="preserve"> </w:t>
      </w:r>
      <w:r w:rsidR="009514EB">
        <w:t>szempontjából</w:t>
      </w:r>
      <w:r>
        <w:t xml:space="preserve"> kialakított</w:t>
      </w:r>
      <w:r w:rsidR="006A3334" w:rsidRPr="009514EB">
        <w:t xml:space="preserve"> </w:t>
      </w:r>
      <w:r>
        <w:t xml:space="preserve">ötfokozatú skálán, </w:t>
      </w:r>
      <w:r w:rsidR="006A3334" w:rsidRPr="009514EB">
        <w:t>a</w:t>
      </w:r>
      <w:r w:rsidR="00207D0E">
        <w:t>z</w:t>
      </w:r>
      <w:r w:rsidR="006A3334" w:rsidRPr="009514EB">
        <w:t xml:space="preserve"> </w:t>
      </w:r>
      <w:r w:rsidR="00207D0E">
        <w:t>EIR</w:t>
      </w:r>
      <w:r w:rsidR="00207D0E" w:rsidRPr="009514EB">
        <w:t xml:space="preserve"> </w:t>
      </w:r>
      <w:r w:rsidR="009514EB">
        <w:t>által</w:t>
      </w:r>
      <w:r w:rsidR="006A3334" w:rsidRPr="009514EB">
        <w:t xml:space="preserve"> kezelt adatok </w:t>
      </w:r>
      <w:r w:rsidR="009514EB">
        <w:t>sérülésének</w:t>
      </w:r>
      <w:r w:rsidR="006A3334" w:rsidRPr="009514EB">
        <w:t xml:space="preserve"> </w:t>
      </w:r>
      <w:r w:rsidR="009514EB">
        <w:t>és</w:t>
      </w:r>
      <w:r w:rsidR="006A3334" w:rsidRPr="009514EB">
        <w:t xml:space="preserve"> az </w:t>
      </w:r>
      <w:r w:rsidR="009514EB">
        <w:t>ebből</w:t>
      </w:r>
      <w:r w:rsidR="006A3334" w:rsidRPr="009514EB">
        <w:t xml:space="preserve"> </w:t>
      </w:r>
      <w:r w:rsidR="009514EB">
        <w:t>fakadó</w:t>
      </w:r>
      <w:r w:rsidR="006A3334" w:rsidRPr="009514EB">
        <w:t xml:space="preserve"> </w:t>
      </w:r>
      <w:r w:rsidR="009514EB">
        <w:t>következménye</w:t>
      </w:r>
      <w:r>
        <w:t>knek</w:t>
      </w:r>
      <w:r w:rsidR="006A3334" w:rsidRPr="009514EB">
        <w:t xml:space="preserve">, a szervezettel szembeni </w:t>
      </w:r>
      <w:r w:rsidR="009514EB">
        <w:lastRenderedPageBreak/>
        <w:t>bizalomvesztés</w:t>
      </w:r>
      <w:r>
        <w:t>nek</w:t>
      </w:r>
      <w:r w:rsidR="006A3334" w:rsidRPr="009514EB">
        <w:t xml:space="preserve">, illetve a </w:t>
      </w:r>
      <w:r w:rsidR="009514EB">
        <w:t>közvetlen</w:t>
      </w:r>
      <w:r w:rsidR="006A3334" w:rsidRPr="009514EB">
        <w:t xml:space="preserve">- </w:t>
      </w:r>
      <w:r w:rsidR="009514EB">
        <w:t>és közvetett</w:t>
      </w:r>
      <w:r w:rsidR="006A3334" w:rsidRPr="009514EB">
        <w:t xml:space="preserve"> anyagi </w:t>
      </w:r>
      <w:r w:rsidR="009514EB">
        <w:t>kár mértékének a megadott szint</w:t>
      </w:r>
      <w:r>
        <w:t>ek</w:t>
      </w:r>
      <w:r w:rsidR="009514EB">
        <w:t xml:space="preserve"> alapján történő besorolásával történik</w:t>
      </w:r>
      <w:r w:rsidR="006A3334" w:rsidRPr="009514EB">
        <w:t>.</w:t>
      </w:r>
      <w:r w:rsidR="009514EB">
        <w:t xml:space="preserve"> </w:t>
      </w:r>
    </w:p>
    <w:p w14:paraId="491B570A" w14:textId="1CBBB634" w:rsidR="009B43D4" w:rsidRDefault="009B43D4" w:rsidP="009B43D4">
      <w:r w:rsidRPr="002F304A">
        <w:rPr>
          <w:b/>
          <w:bCs/>
          <w:i/>
          <w:iCs/>
        </w:rPr>
        <w:t>A kockázati tényezők származtatásakor nem a lehetséges legnagyobb kárértéket, hanem a releváns, bekövetkezési valószínűséggel korrigált fenyegetettségek által okozható kárt, káros hatást kell figyelembe venni</w:t>
      </w:r>
      <w:r w:rsidRPr="00D65BD6">
        <w:t xml:space="preserve">. Ezt a kockázati szorzótáblával tudjuk elérni. A szorzótábla sorát a </w:t>
      </w:r>
      <w:r>
        <w:t>fenyegetettség</w:t>
      </w:r>
      <w:r w:rsidRPr="00D65BD6">
        <w:t xml:space="preserve"> előfordulási </w:t>
      </w:r>
      <w:r>
        <w:t>valószínűsége</w:t>
      </w:r>
      <w:r w:rsidRPr="00D65BD6">
        <w:t xml:space="preserve">, oszlopát </w:t>
      </w:r>
      <w:r>
        <w:t>a bizalmasság, sértetlenség és rendelkezésre állás</w:t>
      </w:r>
      <w:r w:rsidRPr="00D65BD6">
        <w:t xml:space="preserve"> szempont</w:t>
      </w:r>
      <w:r>
        <w:t xml:space="preserve">okhoz tartozó </w:t>
      </w:r>
      <w:r w:rsidRPr="00D65BD6">
        <w:t>kár</w:t>
      </w:r>
      <w:r>
        <w:t>érték közül a legmagasabb</w:t>
      </w:r>
      <w:r w:rsidRPr="00D65BD6">
        <w:t xml:space="preserve"> kategóri</w:t>
      </w:r>
      <w:r>
        <w:t xml:space="preserve">a </w:t>
      </w:r>
      <w:r w:rsidRPr="00D65BD6">
        <w:t xml:space="preserve">határozza meg. </w:t>
      </w:r>
    </w:p>
    <w:p w14:paraId="6849BC5C" w14:textId="31A463DB" w:rsidR="001C3140" w:rsidRDefault="001C3140" w:rsidP="009B43D4">
      <w:r>
        <w:t>Kockázati szorzótábla minta:</w:t>
      </w:r>
    </w:p>
    <w:tbl>
      <w:tblPr>
        <w:tblW w:w="9056" w:type="dxa"/>
        <w:shd w:val="clear" w:color="auto" w:fill="FFFFFF"/>
        <w:tblCellMar>
          <w:left w:w="0" w:type="dxa"/>
          <w:right w:w="0" w:type="dxa"/>
        </w:tblCellMar>
        <w:tblLook w:val="04A0" w:firstRow="1" w:lastRow="0" w:firstColumn="1" w:lastColumn="0" w:noHBand="0" w:noVBand="1"/>
      </w:tblPr>
      <w:tblGrid>
        <w:gridCol w:w="2109"/>
        <w:gridCol w:w="1569"/>
        <w:gridCol w:w="1238"/>
        <w:gridCol w:w="1381"/>
        <w:gridCol w:w="1378"/>
        <w:gridCol w:w="1381"/>
      </w:tblGrid>
      <w:tr w:rsidR="001C3140" w:rsidRPr="00D65BD6" w14:paraId="79D75FD3" w14:textId="77777777" w:rsidTr="00436AC2">
        <w:trPr>
          <w:trHeight w:val="166"/>
          <w:tblHeader/>
        </w:trPr>
        <w:tc>
          <w:tcPr>
            <w:tcW w:w="2109" w:type="dxa"/>
            <w:vMerge w:val="restart"/>
            <w:tcBorders>
              <w:top w:val="single" w:sz="6" w:space="0" w:color="8CACBB"/>
              <w:left w:val="single" w:sz="6" w:space="0" w:color="8CACBB"/>
              <w:right w:val="single" w:sz="6" w:space="0" w:color="8CACBB"/>
            </w:tcBorders>
            <w:shd w:val="clear" w:color="auto" w:fill="DEE7EC"/>
            <w:tcMar>
              <w:top w:w="45" w:type="dxa"/>
              <w:left w:w="45" w:type="dxa"/>
              <w:bottom w:w="45" w:type="dxa"/>
              <w:right w:w="45" w:type="dxa"/>
            </w:tcMar>
            <w:vAlign w:val="bottom"/>
            <w:hideMark/>
          </w:tcPr>
          <w:p w14:paraId="5F562BD6" w14:textId="1C92FF78" w:rsidR="001C3140" w:rsidRPr="00D65BD6" w:rsidRDefault="001C3140" w:rsidP="00436AC2">
            <w:pPr>
              <w:tabs>
                <w:tab w:val="left" w:pos="3091"/>
              </w:tabs>
              <w:jc w:val="center"/>
              <w:rPr>
                <w:b/>
                <w:sz w:val="20"/>
                <w:szCs w:val="20"/>
              </w:rPr>
            </w:pPr>
            <w:r w:rsidRPr="00D65BD6">
              <w:rPr>
                <w:b/>
                <w:sz w:val="20"/>
                <w:szCs w:val="20"/>
              </w:rPr>
              <w:t>Kárérték szint</w:t>
            </w:r>
          </w:p>
        </w:tc>
        <w:tc>
          <w:tcPr>
            <w:tcW w:w="6947" w:type="dxa"/>
            <w:gridSpan w:val="5"/>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center"/>
          </w:tcPr>
          <w:p w14:paraId="2C19EE4A" w14:textId="7D5B63CA" w:rsidR="001C3140" w:rsidRPr="00D65BD6" w:rsidRDefault="001C3140" w:rsidP="00436AC2">
            <w:pPr>
              <w:tabs>
                <w:tab w:val="left" w:pos="3091"/>
              </w:tabs>
              <w:jc w:val="center"/>
              <w:rPr>
                <w:b/>
                <w:sz w:val="20"/>
                <w:szCs w:val="20"/>
              </w:rPr>
            </w:pPr>
            <w:r>
              <w:rPr>
                <w:b/>
                <w:sz w:val="20"/>
                <w:szCs w:val="20"/>
              </w:rPr>
              <w:t>Előfordulási valószínűsége</w:t>
            </w:r>
          </w:p>
        </w:tc>
      </w:tr>
      <w:tr w:rsidR="00436AC2" w:rsidRPr="00D65BD6" w14:paraId="1679FB2B" w14:textId="77777777" w:rsidTr="00436AC2">
        <w:trPr>
          <w:tblHeader/>
        </w:trPr>
        <w:tc>
          <w:tcPr>
            <w:tcW w:w="2109" w:type="dxa"/>
            <w:vMerge/>
            <w:tcBorders>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2F4E2E71" w14:textId="52F50378" w:rsidR="001C3140" w:rsidRPr="00D65BD6" w:rsidRDefault="001C3140" w:rsidP="00CE39B1">
            <w:pPr>
              <w:tabs>
                <w:tab w:val="left" w:pos="3091"/>
              </w:tabs>
              <w:jc w:val="left"/>
              <w:rPr>
                <w:b/>
                <w:sz w:val="20"/>
                <w:szCs w:val="20"/>
              </w:rPr>
            </w:pPr>
          </w:p>
        </w:tc>
        <w:tc>
          <w:tcPr>
            <w:tcW w:w="1569"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center"/>
          </w:tcPr>
          <w:p w14:paraId="65587B84" w14:textId="3CFC2309" w:rsidR="001C3140" w:rsidRPr="00D65BD6" w:rsidRDefault="001C3140" w:rsidP="00436AC2">
            <w:pPr>
              <w:tabs>
                <w:tab w:val="left" w:pos="3091"/>
              </w:tabs>
              <w:jc w:val="center"/>
              <w:rPr>
                <w:b/>
                <w:sz w:val="20"/>
                <w:szCs w:val="20"/>
              </w:rPr>
            </w:pPr>
            <w:r w:rsidRPr="00D65BD6">
              <w:rPr>
                <w:b/>
                <w:sz w:val="20"/>
                <w:szCs w:val="20"/>
              </w:rPr>
              <w:t>1. nem értelmezhető</w:t>
            </w:r>
          </w:p>
        </w:tc>
        <w:tc>
          <w:tcPr>
            <w:tcW w:w="1238" w:type="dxa"/>
            <w:tcBorders>
              <w:top w:val="single" w:sz="6" w:space="0" w:color="8CACBB"/>
              <w:left w:val="single" w:sz="6" w:space="0" w:color="8CACBB"/>
              <w:bottom w:val="single" w:sz="6" w:space="0" w:color="8CACBB"/>
              <w:right w:val="single" w:sz="6" w:space="0" w:color="8CACBB"/>
            </w:tcBorders>
            <w:shd w:val="clear" w:color="auto" w:fill="DEE7EC"/>
            <w:vAlign w:val="center"/>
          </w:tcPr>
          <w:p w14:paraId="0E876853" w14:textId="662057BE" w:rsidR="001C3140" w:rsidRPr="00D65BD6" w:rsidRDefault="001C3140" w:rsidP="00436AC2">
            <w:pPr>
              <w:tabs>
                <w:tab w:val="left" w:pos="3091"/>
              </w:tabs>
              <w:jc w:val="center"/>
              <w:rPr>
                <w:b/>
                <w:sz w:val="20"/>
                <w:szCs w:val="20"/>
              </w:rPr>
            </w:pPr>
            <w:r>
              <w:rPr>
                <w:b/>
                <w:sz w:val="20"/>
                <w:szCs w:val="20"/>
              </w:rPr>
              <w:t>2. csekély</w:t>
            </w:r>
          </w:p>
        </w:tc>
        <w:tc>
          <w:tcPr>
            <w:tcW w:w="1381" w:type="dxa"/>
            <w:tcBorders>
              <w:top w:val="single" w:sz="6" w:space="0" w:color="8CACBB"/>
              <w:left w:val="single" w:sz="6" w:space="0" w:color="8CACBB"/>
              <w:bottom w:val="single" w:sz="6" w:space="0" w:color="8CACBB"/>
              <w:right w:val="single" w:sz="6" w:space="0" w:color="8CACBB"/>
            </w:tcBorders>
            <w:shd w:val="clear" w:color="auto" w:fill="DEE7EC"/>
            <w:vAlign w:val="center"/>
          </w:tcPr>
          <w:p w14:paraId="7BB9E4CE" w14:textId="540F0513" w:rsidR="001C3140" w:rsidRPr="00D65BD6" w:rsidRDefault="001C3140" w:rsidP="00436AC2">
            <w:pPr>
              <w:tabs>
                <w:tab w:val="left" w:pos="3091"/>
              </w:tabs>
              <w:jc w:val="center"/>
              <w:rPr>
                <w:b/>
                <w:sz w:val="20"/>
                <w:szCs w:val="20"/>
              </w:rPr>
            </w:pPr>
            <w:r>
              <w:rPr>
                <w:b/>
                <w:sz w:val="20"/>
                <w:szCs w:val="20"/>
              </w:rPr>
              <w:t>3. közepes</w:t>
            </w:r>
          </w:p>
        </w:tc>
        <w:tc>
          <w:tcPr>
            <w:tcW w:w="1378"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center"/>
          </w:tcPr>
          <w:p w14:paraId="258BBCEE" w14:textId="328A9964" w:rsidR="001C3140" w:rsidRPr="00D65BD6" w:rsidRDefault="001C3140" w:rsidP="00436AC2">
            <w:pPr>
              <w:tabs>
                <w:tab w:val="left" w:pos="3091"/>
              </w:tabs>
              <w:jc w:val="center"/>
              <w:rPr>
                <w:b/>
                <w:sz w:val="20"/>
                <w:szCs w:val="20"/>
              </w:rPr>
            </w:pPr>
            <w:r>
              <w:rPr>
                <w:b/>
                <w:sz w:val="20"/>
                <w:szCs w:val="20"/>
              </w:rPr>
              <w:t>4. nagy</w:t>
            </w:r>
          </w:p>
        </w:tc>
        <w:tc>
          <w:tcPr>
            <w:tcW w:w="1381"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center"/>
          </w:tcPr>
          <w:p w14:paraId="7CDBC74E" w14:textId="4CEAB4A7" w:rsidR="001C3140" w:rsidRPr="00D65BD6" w:rsidRDefault="001C3140" w:rsidP="00436AC2">
            <w:pPr>
              <w:tabs>
                <w:tab w:val="left" w:pos="3091"/>
              </w:tabs>
              <w:jc w:val="center"/>
              <w:rPr>
                <w:b/>
                <w:sz w:val="20"/>
                <w:szCs w:val="20"/>
              </w:rPr>
            </w:pPr>
            <w:r>
              <w:rPr>
                <w:b/>
                <w:sz w:val="20"/>
                <w:szCs w:val="20"/>
              </w:rPr>
              <w:t>5. nagyon nagy</w:t>
            </w:r>
          </w:p>
        </w:tc>
      </w:tr>
      <w:tr w:rsidR="001C3140" w:rsidRPr="00D65BD6" w14:paraId="25CC7F4A" w14:textId="77777777" w:rsidTr="00436AC2">
        <w:tc>
          <w:tcPr>
            <w:tcW w:w="2109"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568424C7" w14:textId="77777777" w:rsidR="001C3140" w:rsidRPr="00D65BD6" w:rsidRDefault="001C3140" w:rsidP="00CE39B1">
            <w:pPr>
              <w:tabs>
                <w:tab w:val="left" w:pos="3091"/>
              </w:tabs>
              <w:jc w:val="left"/>
              <w:rPr>
                <w:b/>
                <w:sz w:val="20"/>
                <w:szCs w:val="20"/>
              </w:rPr>
            </w:pPr>
            <w:r w:rsidRPr="00D65BD6">
              <w:rPr>
                <w:b/>
                <w:sz w:val="20"/>
                <w:szCs w:val="20"/>
              </w:rPr>
              <w:t>1. nem értelmezhető</w:t>
            </w:r>
          </w:p>
        </w:tc>
        <w:tc>
          <w:tcPr>
            <w:tcW w:w="1569" w:type="dxa"/>
            <w:tcBorders>
              <w:top w:val="single" w:sz="6" w:space="0" w:color="8CACBB"/>
              <w:left w:val="single" w:sz="6" w:space="0" w:color="8CACBB"/>
              <w:bottom w:val="single" w:sz="6" w:space="0" w:color="8CACBB"/>
              <w:right w:val="single" w:sz="6" w:space="0" w:color="8CACBB"/>
            </w:tcBorders>
            <w:shd w:val="clear" w:color="auto" w:fill="C5E0B3" w:themeFill="accent6" w:themeFillTint="66"/>
            <w:tcMar>
              <w:top w:w="45" w:type="dxa"/>
              <w:left w:w="45" w:type="dxa"/>
              <w:bottom w:w="45" w:type="dxa"/>
              <w:right w:w="45" w:type="dxa"/>
            </w:tcMar>
            <w:vAlign w:val="center"/>
          </w:tcPr>
          <w:p w14:paraId="2683BB57" w14:textId="7301072D" w:rsidR="001C3140" w:rsidRPr="00D65BD6" w:rsidRDefault="001C3140" w:rsidP="00436AC2">
            <w:pPr>
              <w:tabs>
                <w:tab w:val="left" w:pos="3091"/>
              </w:tabs>
              <w:jc w:val="center"/>
              <w:rPr>
                <w:sz w:val="20"/>
                <w:szCs w:val="20"/>
              </w:rPr>
            </w:pPr>
            <w:r>
              <w:rPr>
                <w:sz w:val="20"/>
                <w:szCs w:val="20"/>
              </w:rPr>
              <w:t>Alacsony</w:t>
            </w:r>
          </w:p>
        </w:tc>
        <w:tc>
          <w:tcPr>
            <w:tcW w:w="1238" w:type="dxa"/>
            <w:tcBorders>
              <w:top w:val="single" w:sz="6" w:space="0" w:color="8CACBB"/>
              <w:left w:val="single" w:sz="6" w:space="0" w:color="8CACBB"/>
              <w:bottom w:val="single" w:sz="6" w:space="0" w:color="8CACBB"/>
              <w:right w:val="single" w:sz="6" w:space="0" w:color="8CACBB"/>
            </w:tcBorders>
            <w:shd w:val="clear" w:color="auto" w:fill="C5E0B3" w:themeFill="accent6" w:themeFillTint="66"/>
            <w:vAlign w:val="center"/>
          </w:tcPr>
          <w:p w14:paraId="5F726D64" w14:textId="5DBC4A0F" w:rsidR="001C3140" w:rsidRPr="00D65BD6" w:rsidRDefault="001C3140" w:rsidP="00436AC2">
            <w:pPr>
              <w:jc w:val="center"/>
              <w:rPr>
                <w:sz w:val="20"/>
                <w:szCs w:val="20"/>
              </w:rPr>
            </w:pPr>
            <w:r>
              <w:rPr>
                <w:sz w:val="20"/>
                <w:szCs w:val="20"/>
              </w:rPr>
              <w:t>Alacsony</w:t>
            </w:r>
          </w:p>
        </w:tc>
        <w:tc>
          <w:tcPr>
            <w:tcW w:w="1381" w:type="dxa"/>
            <w:tcBorders>
              <w:top w:val="single" w:sz="6" w:space="0" w:color="8CACBB"/>
              <w:left w:val="single" w:sz="6" w:space="0" w:color="8CACBB"/>
              <w:bottom w:val="single" w:sz="6" w:space="0" w:color="8CACBB"/>
              <w:right w:val="single" w:sz="6" w:space="0" w:color="8CACBB"/>
            </w:tcBorders>
            <w:shd w:val="clear" w:color="auto" w:fill="C5E0B3" w:themeFill="accent6" w:themeFillTint="66"/>
            <w:vAlign w:val="center"/>
          </w:tcPr>
          <w:p w14:paraId="1686C63F" w14:textId="73B8D62F" w:rsidR="001C3140" w:rsidRPr="00D65BD6" w:rsidRDefault="001C3140" w:rsidP="00436AC2">
            <w:pPr>
              <w:jc w:val="center"/>
              <w:rPr>
                <w:sz w:val="20"/>
                <w:szCs w:val="20"/>
              </w:rPr>
            </w:pPr>
            <w:r>
              <w:rPr>
                <w:sz w:val="20"/>
                <w:szCs w:val="20"/>
              </w:rPr>
              <w:t>Alacsony</w:t>
            </w:r>
          </w:p>
        </w:tc>
        <w:tc>
          <w:tcPr>
            <w:tcW w:w="1378" w:type="dxa"/>
            <w:tcBorders>
              <w:top w:val="single" w:sz="6" w:space="0" w:color="8CACBB"/>
              <w:left w:val="single" w:sz="6" w:space="0" w:color="8CACBB"/>
              <w:bottom w:val="single" w:sz="6" w:space="0" w:color="8CACBB"/>
              <w:right w:val="single" w:sz="6" w:space="0" w:color="8CACBB"/>
            </w:tcBorders>
            <w:shd w:val="clear" w:color="auto" w:fill="ED7D31" w:themeFill="accent2"/>
            <w:tcMar>
              <w:top w:w="45" w:type="dxa"/>
              <w:left w:w="45" w:type="dxa"/>
              <w:bottom w:w="45" w:type="dxa"/>
              <w:right w:w="45" w:type="dxa"/>
            </w:tcMar>
            <w:vAlign w:val="center"/>
          </w:tcPr>
          <w:p w14:paraId="26B6B24D" w14:textId="770A7D3E" w:rsidR="001C3140" w:rsidRPr="00D65BD6" w:rsidRDefault="001C3140" w:rsidP="00436AC2">
            <w:pPr>
              <w:jc w:val="center"/>
              <w:rPr>
                <w:sz w:val="20"/>
                <w:szCs w:val="20"/>
              </w:rPr>
            </w:pPr>
            <w:r>
              <w:rPr>
                <w:sz w:val="20"/>
                <w:szCs w:val="20"/>
              </w:rPr>
              <w:t>Közepes</w:t>
            </w:r>
          </w:p>
        </w:tc>
        <w:tc>
          <w:tcPr>
            <w:tcW w:w="1381" w:type="dxa"/>
            <w:tcBorders>
              <w:top w:val="single" w:sz="6" w:space="0" w:color="8CACBB"/>
              <w:left w:val="single" w:sz="6" w:space="0" w:color="8CACBB"/>
              <w:bottom w:val="single" w:sz="6" w:space="0" w:color="8CACBB"/>
              <w:right w:val="single" w:sz="6" w:space="0" w:color="8CACBB"/>
            </w:tcBorders>
            <w:shd w:val="clear" w:color="auto" w:fill="ED7D31" w:themeFill="accent2"/>
            <w:tcMar>
              <w:top w:w="45" w:type="dxa"/>
              <w:left w:w="45" w:type="dxa"/>
              <w:bottom w:w="45" w:type="dxa"/>
              <w:right w:w="45" w:type="dxa"/>
            </w:tcMar>
            <w:vAlign w:val="center"/>
          </w:tcPr>
          <w:p w14:paraId="49E30891" w14:textId="68B7E9A5" w:rsidR="001C3140" w:rsidRPr="00D65BD6" w:rsidRDefault="001C3140" w:rsidP="00436AC2">
            <w:pPr>
              <w:jc w:val="center"/>
              <w:rPr>
                <w:sz w:val="20"/>
                <w:szCs w:val="20"/>
              </w:rPr>
            </w:pPr>
            <w:r>
              <w:rPr>
                <w:sz w:val="20"/>
                <w:szCs w:val="20"/>
              </w:rPr>
              <w:t>Közepes</w:t>
            </w:r>
          </w:p>
        </w:tc>
      </w:tr>
      <w:tr w:rsidR="001C3140" w:rsidRPr="00D65BD6" w14:paraId="11C542E1" w14:textId="77777777" w:rsidTr="00436AC2">
        <w:tc>
          <w:tcPr>
            <w:tcW w:w="2109"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313C00D7" w14:textId="77777777" w:rsidR="001C3140" w:rsidRPr="00D65BD6" w:rsidRDefault="001C3140" w:rsidP="00CE39B1">
            <w:pPr>
              <w:tabs>
                <w:tab w:val="left" w:pos="3091"/>
              </w:tabs>
              <w:jc w:val="left"/>
              <w:rPr>
                <w:b/>
                <w:sz w:val="20"/>
                <w:szCs w:val="20"/>
              </w:rPr>
            </w:pPr>
            <w:r w:rsidRPr="00D65BD6">
              <w:rPr>
                <w:b/>
                <w:sz w:val="20"/>
                <w:szCs w:val="20"/>
              </w:rPr>
              <w:t>2. csekély kár</w:t>
            </w:r>
          </w:p>
        </w:tc>
        <w:tc>
          <w:tcPr>
            <w:tcW w:w="1569" w:type="dxa"/>
            <w:tcBorders>
              <w:top w:val="single" w:sz="6" w:space="0" w:color="8CACBB"/>
              <w:left w:val="single" w:sz="6" w:space="0" w:color="8CACBB"/>
              <w:bottom w:val="single" w:sz="6" w:space="0" w:color="8CACBB"/>
              <w:right w:val="single" w:sz="6" w:space="0" w:color="8CACBB"/>
            </w:tcBorders>
            <w:shd w:val="clear" w:color="auto" w:fill="C5E0B3" w:themeFill="accent6" w:themeFillTint="66"/>
            <w:tcMar>
              <w:top w:w="45" w:type="dxa"/>
              <w:left w:w="45" w:type="dxa"/>
              <w:bottom w:w="45" w:type="dxa"/>
              <w:right w:w="45" w:type="dxa"/>
            </w:tcMar>
            <w:vAlign w:val="center"/>
          </w:tcPr>
          <w:p w14:paraId="65F91278" w14:textId="5A64E2DE" w:rsidR="001C3140" w:rsidRPr="00D65BD6" w:rsidRDefault="001C3140" w:rsidP="00436AC2">
            <w:pPr>
              <w:tabs>
                <w:tab w:val="left" w:pos="3091"/>
              </w:tabs>
              <w:jc w:val="center"/>
              <w:rPr>
                <w:sz w:val="20"/>
                <w:szCs w:val="20"/>
              </w:rPr>
            </w:pPr>
            <w:r>
              <w:rPr>
                <w:sz w:val="20"/>
                <w:szCs w:val="20"/>
              </w:rPr>
              <w:t>Alacsony</w:t>
            </w:r>
          </w:p>
        </w:tc>
        <w:tc>
          <w:tcPr>
            <w:tcW w:w="1238" w:type="dxa"/>
            <w:tcBorders>
              <w:top w:val="single" w:sz="6" w:space="0" w:color="8CACBB"/>
              <w:left w:val="single" w:sz="6" w:space="0" w:color="8CACBB"/>
              <w:bottom w:val="single" w:sz="6" w:space="0" w:color="8CACBB"/>
              <w:right w:val="single" w:sz="6" w:space="0" w:color="8CACBB"/>
            </w:tcBorders>
            <w:shd w:val="clear" w:color="auto" w:fill="C5E0B3" w:themeFill="accent6" w:themeFillTint="66"/>
            <w:vAlign w:val="center"/>
          </w:tcPr>
          <w:p w14:paraId="5607E1FD" w14:textId="481C0E62" w:rsidR="001C3140" w:rsidRPr="00D65BD6" w:rsidRDefault="001C3140" w:rsidP="00436AC2">
            <w:pPr>
              <w:tabs>
                <w:tab w:val="left" w:pos="3091"/>
              </w:tabs>
              <w:jc w:val="center"/>
              <w:rPr>
                <w:sz w:val="20"/>
                <w:szCs w:val="20"/>
              </w:rPr>
            </w:pPr>
            <w:r>
              <w:rPr>
                <w:sz w:val="20"/>
                <w:szCs w:val="20"/>
              </w:rPr>
              <w:t>Alacsony</w:t>
            </w:r>
          </w:p>
        </w:tc>
        <w:tc>
          <w:tcPr>
            <w:tcW w:w="1381" w:type="dxa"/>
            <w:tcBorders>
              <w:top w:val="single" w:sz="6" w:space="0" w:color="8CACBB"/>
              <w:left w:val="single" w:sz="6" w:space="0" w:color="8CACBB"/>
              <w:bottom w:val="single" w:sz="6" w:space="0" w:color="8CACBB"/>
              <w:right w:val="single" w:sz="6" w:space="0" w:color="8CACBB"/>
            </w:tcBorders>
            <w:shd w:val="clear" w:color="auto" w:fill="ED7D31" w:themeFill="accent2"/>
            <w:vAlign w:val="center"/>
          </w:tcPr>
          <w:p w14:paraId="277454D4" w14:textId="71D16A07" w:rsidR="001C3140" w:rsidRPr="00D65BD6" w:rsidRDefault="001C3140" w:rsidP="00436AC2">
            <w:pPr>
              <w:tabs>
                <w:tab w:val="left" w:pos="3091"/>
              </w:tabs>
              <w:jc w:val="center"/>
              <w:rPr>
                <w:sz w:val="20"/>
                <w:szCs w:val="20"/>
              </w:rPr>
            </w:pPr>
            <w:r>
              <w:rPr>
                <w:sz w:val="20"/>
                <w:szCs w:val="20"/>
              </w:rPr>
              <w:t>Közepes</w:t>
            </w:r>
          </w:p>
        </w:tc>
        <w:tc>
          <w:tcPr>
            <w:tcW w:w="1378" w:type="dxa"/>
            <w:tcBorders>
              <w:top w:val="single" w:sz="6" w:space="0" w:color="8CACBB"/>
              <w:left w:val="single" w:sz="6" w:space="0" w:color="8CACBB"/>
              <w:bottom w:val="single" w:sz="6" w:space="0" w:color="8CACBB"/>
              <w:right w:val="single" w:sz="6" w:space="0" w:color="8CACBB"/>
            </w:tcBorders>
            <w:shd w:val="clear" w:color="auto" w:fill="ED7D31" w:themeFill="accent2"/>
            <w:tcMar>
              <w:top w:w="45" w:type="dxa"/>
              <w:left w:w="45" w:type="dxa"/>
              <w:bottom w:w="45" w:type="dxa"/>
              <w:right w:w="45" w:type="dxa"/>
            </w:tcMar>
            <w:vAlign w:val="center"/>
          </w:tcPr>
          <w:p w14:paraId="1F4661AF" w14:textId="6EF86F5E" w:rsidR="001C3140" w:rsidRPr="00D65BD6" w:rsidRDefault="001C3140" w:rsidP="00436AC2">
            <w:pPr>
              <w:tabs>
                <w:tab w:val="left" w:pos="3091"/>
              </w:tabs>
              <w:jc w:val="center"/>
              <w:rPr>
                <w:sz w:val="20"/>
                <w:szCs w:val="20"/>
              </w:rPr>
            </w:pPr>
            <w:r>
              <w:rPr>
                <w:sz w:val="20"/>
                <w:szCs w:val="20"/>
              </w:rPr>
              <w:t>Közepes</w:t>
            </w:r>
          </w:p>
        </w:tc>
        <w:tc>
          <w:tcPr>
            <w:tcW w:w="1381" w:type="dxa"/>
            <w:tcBorders>
              <w:top w:val="single" w:sz="6" w:space="0" w:color="8CACBB"/>
              <w:left w:val="single" w:sz="6" w:space="0" w:color="8CACBB"/>
              <w:bottom w:val="single" w:sz="6" w:space="0" w:color="8CACBB"/>
              <w:right w:val="single" w:sz="6" w:space="0" w:color="8CACBB"/>
            </w:tcBorders>
            <w:shd w:val="clear" w:color="auto" w:fill="ED7D31" w:themeFill="accent2"/>
            <w:tcMar>
              <w:top w:w="45" w:type="dxa"/>
              <w:left w:w="45" w:type="dxa"/>
              <w:bottom w:w="45" w:type="dxa"/>
              <w:right w:w="45" w:type="dxa"/>
            </w:tcMar>
            <w:vAlign w:val="center"/>
          </w:tcPr>
          <w:p w14:paraId="239BD6C0" w14:textId="6DFD0DA6" w:rsidR="001C3140" w:rsidRPr="00D65BD6" w:rsidRDefault="001C3140" w:rsidP="00436AC2">
            <w:pPr>
              <w:tabs>
                <w:tab w:val="left" w:pos="3091"/>
              </w:tabs>
              <w:jc w:val="center"/>
              <w:rPr>
                <w:sz w:val="20"/>
                <w:szCs w:val="20"/>
              </w:rPr>
            </w:pPr>
            <w:r>
              <w:rPr>
                <w:sz w:val="20"/>
                <w:szCs w:val="20"/>
              </w:rPr>
              <w:t>Közepes</w:t>
            </w:r>
          </w:p>
        </w:tc>
      </w:tr>
      <w:tr w:rsidR="001C3140" w:rsidRPr="00D65BD6" w14:paraId="734C5F2A" w14:textId="77777777" w:rsidTr="00436AC2">
        <w:tc>
          <w:tcPr>
            <w:tcW w:w="2109"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4D671E63" w14:textId="77777777" w:rsidR="001C3140" w:rsidRPr="00D65BD6" w:rsidRDefault="001C3140" w:rsidP="00CE39B1">
            <w:pPr>
              <w:tabs>
                <w:tab w:val="left" w:pos="3091"/>
              </w:tabs>
              <w:jc w:val="left"/>
              <w:rPr>
                <w:b/>
                <w:sz w:val="20"/>
                <w:szCs w:val="20"/>
              </w:rPr>
            </w:pPr>
            <w:r w:rsidRPr="00D65BD6">
              <w:rPr>
                <w:b/>
                <w:sz w:val="20"/>
                <w:szCs w:val="20"/>
              </w:rPr>
              <w:t>3. közepes kár</w:t>
            </w:r>
          </w:p>
        </w:tc>
        <w:tc>
          <w:tcPr>
            <w:tcW w:w="1569" w:type="dxa"/>
            <w:tcBorders>
              <w:top w:val="single" w:sz="6" w:space="0" w:color="8CACBB"/>
              <w:left w:val="single" w:sz="6" w:space="0" w:color="8CACBB"/>
              <w:bottom w:val="single" w:sz="6" w:space="0" w:color="8CACBB"/>
              <w:right w:val="single" w:sz="6" w:space="0" w:color="8CACBB"/>
            </w:tcBorders>
            <w:shd w:val="clear" w:color="auto" w:fill="C5E0B3" w:themeFill="accent6" w:themeFillTint="66"/>
            <w:tcMar>
              <w:top w:w="45" w:type="dxa"/>
              <w:left w:w="45" w:type="dxa"/>
              <w:bottom w:w="45" w:type="dxa"/>
              <w:right w:w="45" w:type="dxa"/>
            </w:tcMar>
            <w:vAlign w:val="center"/>
          </w:tcPr>
          <w:p w14:paraId="0805A9F7" w14:textId="5AEE8969" w:rsidR="001C3140" w:rsidRPr="00D65BD6" w:rsidRDefault="001C3140" w:rsidP="00436AC2">
            <w:pPr>
              <w:tabs>
                <w:tab w:val="left" w:pos="3091"/>
              </w:tabs>
              <w:jc w:val="center"/>
              <w:rPr>
                <w:sz w:val="20"/>
                <w:szCs w:val="20"/>
              </w:rPr>
            </w:pPr>
            <w:r>
              <w:rPr>
                <w:sz w:val="20"/>
                <w:szCs w:val="20"/>
              </w:rPr>
              <w:t>Alacsony</w:t>
            </w:r>
          </w:p>
        </w:tc>
        <w:tc>
          <w:tcPr>
            <w:tcW w:w="1238" w:type="dxa"/>
            <w:tcBorders>
              <w:top w:val="single" w:sz="6" w:space="0" w:color="8CACBB"/>
              <w:left w:val="single" w:sz="6" w:space="0" w:color="8CACBB"/>
              <w:bottom w:val="single" w:sz="6" w:space="0" w:color="8CACBB"/>
              <w:right w:val="single" w:sz="6" w:space="0" w:color="8CACBB"/>
            </w:tcBorders>
            <w:shd w:val="clear" w:color="auto" w:fill="ED7D31" w:themeFill="accent2"/>
            <w:vAlign w:val="center"/>
          </w:tcPr>
          <w:p w14:paraId="428E2F46" w14:textId="003B5DD0" w:rsidR="001C3140" w:rsidRPr="00D65BD6" w:rsidRDefault="001C3140" w:rsidP="00436AC2">
            <w:pPr>
              <w:tabs>
                <w:tab w:val="left" w:pos="3091"/>
              </w:tabs>
              <w:jc w:val="center"/>
              <w:rPr>
                <w:sz w:val="20"/>
                <w:szCs w:val="20"/>
              </w:rPr>
            </w:pPr>
            <w:r>
              <w:rPr>
                <w:sz w:val="20"/>
                <w:szCs w:val="20"/>
              </w:rPr>
              <w:t>Közepes</w:t>
            </w:r>
          </w:p>
        </w:tc>
        <w:tc>
          <w:tcPr>
            <w:tcW w:w="1381" w:type="dxa"/>
            <w:tcBorders>
              <w:top w:val="single" w:sz="6" w:space="0" w:color="8CACBB"/>
              <w:left w:val="single" w:sz="6" w:space="0" w:color="8CACBB"/>
              <w:bottom w:val="single" w:sz="6" w:space="0" w:color="8CACBB"/>
              <w:right w:val="single" w:sz="6" w:space="0" w:color="8CACBB"/>
            </w:tcBorders>
            <w:shd w:val="clear" w:color="auto" w:fill="ED7D31" w:themeFill="accent2"/>
            <w:vAlign w:val="center"/>
          </w:tcPr>
          <w:p w14:paraId="1D8812E7" w14:textId="0CBAD684" w:rsidR="001C3140" w:rsidRPr="00D65BD6" w:rsidRDefault="001C3140" w:rsidP="00436AC2">
            <w:pPr>
              <w:tabs>
                <w:tab w:val="left" w:pos="3091"/>
              </w:tabs>
              <w:jc w:val="center"/>
              <w:rPr>
                <w:sz w:val="20"/>
                <w:szCs w:val="20"/>
              </w:rPr>
            </w:pPr>
            <w:r>
              <w:rPr>
                <w:sz w:val="20"/>
                <w:szCs w:val="20"/>
              </w:rPr>
              <w:t>Közepes</w:t>
            </w:r>
          </w:p>
        </w:tc>
        <w:tc>
          <w:tcPr>
            <w:tcW w:w="1378" w:type="dxa"/>
            <w:tcBorders>
              <w:top w:val="single" w:sz="6" w:space="0" w:color="8CACBB"/>
              <w:left w:val="single" w:sz="6" w:space="0" w:color="8CACBB"/>
              <w:bottom w:val="single" w:sz="6" w:space="0" w:color="8CACBB"/>
              <w:right w:val="single" w:sz="6" w:space="0" w:color="8CACBB"/>
            </w:tcBorders>
            <w:shd w:val="clear" w:color="auto" w:fill="ED7D31" w:themeFill="accent2"/>
            <w:tcMar>
              <w:top w:w="45" w:type="dxa"/>
              <w:left w:w="45" w:type="dxa"/>
              <w:bottom w:w="45" w:type="dxa"/>
              <w:right w:w="45" w:type="dxa"/>
            </w:tcMar>
            <w:vAlign w:val="center"/>
          </w:tcPr>
          <w:p w14:paraId="5C560EB8" w14:textId="73AE379A" w:rsidR="001C3140" w:rsidRPr="00D65BD6" w:rsidRDefault="001C3140" w:rsidP="00436AC2">
            <w:pPr>
              <w:tabs>
                <w:tab w:val="left" w:pos="3091"/>
              </w:tabs>
              <w:jc w:val="center"/>
              <w:rPr>
                <w:sz w:val="20"/>
                <w:szCs w:val="20"/>
              </w:rPr>
            </w:pPr>
            <w:r>
              <w:rPr>
                <w:sz w:val="20"/>
                <w:szCs w:val="20"/>
              </w:rPr>
              <w:t>Közepes</w:t>
            </w:r>
          </w:p>
        </w:tc>
        <w:tc>
          <w:tcPr>
            <w:tcW w:w="1381" w:type="dxa"/>
            <w:tcBorders>
              <w:top w:val="single" w:sz="6" w:space="0" w:color="8CACBB"/>
              <w:left w:val="single" w:sz="6" w:space="0" w:color="8CACBB"/>
              <w:bottom w:val="single" w:sz="6" w:space="0" w:color="8CACBB"/>
              <w:right w:val="single" w:sz="6" w:space="0" w:color="8CACBB"/>
            </w:tcBorders>
            <w:shd w:val="clear" w:color="auto" w:fill="FF0000"/>
            <w:tcMar>
              <w:top w:w="45" w:type="dxa"/>
              <w:left w:w="45" w:type="dxa"/>
              <w:bottom w:w="45" w:type="dxa"/>
              <w:right w:w="45" w:type="dxa"/>
            </w:tcMar>
            <w:vAlign w:val="center"/>
          </w:tcPr>
          <w:p w14:paraId="6C7F8634" w14:textId="1120E4BB" w:rsidR="001C3140" w:rsidRPr="00D65BD6" w:rsidRDefault="001C3140" w:rsidP="00436AC2">
            <w:pPr>
              <w:tabs>
                <w:tab w:val="left" w:pos="3091"/>
              </w:tabs>
              <w:jc w:val="center"/>
              <w:rPr>
                <w:sz w:val="20"/>
                <w:szCs w:val="20"/>
              </w:rPr>
            </w:pPr>
            <w:r>
              <w:rPr>
                <w:sz w:val="20"/>
                <w:szCs w:val="20"/>
              </w:rPr>
              <w:t>Magas</w:t>
            </w:r>
          </w:p>
        </w:tc>
      </w:tr>
      <w:tr w:rsidR="001C3140" w:rsidRPr="00D65BD6" w14:paraId="5A1C6A2A" w14:textId="77777777" w:rsidTr="00436AC2">
        <w:tc>
          <w:tcPr>
            <w:tcW w:w="2109"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53EBCC36" w14:textId="77777777" w:rsidR="001C3140" w:rsidRPr="00D65BD6" w:rsidRDefault="001C3140" w:rsidP="00CE39B1">
            <w:pPr>
              <w:tabs>
                <w:tab w:val="left" w:pos="3091"/>
              </w:tabs>
              <w:jc w:val="left"/>
              <w:rPr>
                <w:b/>
                <w:sz w:val="20"/>
                <w:szCs w:val="20"/>
              </w:rPr>
            </w:pPr>
            <w:r w:rsidRPr="00D65BD6">
              <w:rPr>
                <w:b/>
                <w:sz w:val="20"/>
                <w:szCs w:val="20"/>
              </w:rPr>
              <w:t>4. nagy kár</w:t>
            </w:r>
          </w:p>
        </w:tc>
        <w:tc>
          <w:tcPr>
            <w:tcW w:w="1569" w:type="dxa"/>
            <w:tcBorders>
              <w:top w:val="single" w:sz="6" w:space="0" w:color="8CACBB"/>
              <w:left w:val="single" w:sz="6" w:space="0" w:color="8CACBB"/>
              <w:bottom w:val="single" w:sz="6" w:space="0" w:color="8CACBB"/>
              <w:right w:val="single" w:sz="6" w:space="0" w:color="8CACBB"/>
            </w:tcBorders>
            <w:shd w:val="clear" w:color="auto" w:fill="ED7D31" w:themeFill="accent2"/>
            <w:tcMar>
              <w:top w:w="45" w:type="dxa"/>
              <w:left w:w="45" w:type="dxa"/>
              <w:bottom w:w="45" w:type="dxa"/>
              <w:right w:w="45" w:type="dxa"/>
            </w:tcMar>
            <w:vAlign w:val="center"/>
          </w:tcPr>
          <w:p w14:paraId="18061A7F" w14:textId="3C3BA6A3" w:rsidR="001C3140" w:rsidRPr="00D65BD6" w:rsidRDefault="001C3140" w:rsidP="00436AC2">
            <w:pPr>
              <w:tabs>
                <w:tab w:val="left" w:pos="3091"/>
              </w:tabs>
              <w:jc w:val="center"/>
              <w:rPr>
                <w:sz w:val="20"/>
                <w:szCs w:val="20"/>
              </w:rPr>
            </w:pPr>
            <w:r>
              <w:rPr>
                <w:sz w:val="20"/>
                <w:szCs w:val="20"/>
              </w:rPr>
              <w:t>Közepes</w:t>
            </w:r>
          </w:p>
        </w:tc>
        <w:tc>
          <w:tcPr>
            <w:tcW w:w="1238" w:type="dxa"/>
            <w:tcBorders>
              <w:top w:val="single" w:sz="6" w:space="0" w:color="8CACBB"/>
              <w:left w:val="single" w:sz="6" w:space="0" w:color="8CACBB"/>
              <w:bottom w:val="single" w:sz="6" w:space="0" w:color="8CACBB"/>
              <w:right w:val="single" w:sz="6" w:space="0" w:color="8CACBB"/>
            </w:tcBorders>
            <w:shd w:val="clear" w:color="auto" w:fill="ED7D31" w:themeFill="accent2"/>
            <w:vAlign w:val="center"/>
          </w:tcPr>
          <w:p w14:paraId="36167C20" w14:textId="41C0A55F" w:rsidR="001C3140" w:rsidRPr="00D65BD6" w:rsidRDefault="001C3140" w:rsidP="00436AC2">
            <w:pPr>
              <w:tabs>
                <w:tab w:val="left" w:pos="3091"/>
              </w:tabs>
              <w:jc w:val="center"/>
              <w:rPr>
                <w:sz w:val="20"/>
                <w:szCs w:val="20"/>
              </w:rPr>
            </w:pPr>
            <w:r>
              <w:rPr>
                <w:sz w:val="20"/>
                <w:szCs w:val="20"/>
              </w:rPr>
              <w:t>Közepes</w:t>
            </w:r>
          </w:p>
        </w:tc>
        <w:tc>
          <w:tcPr>
            <w:tcW w:w="1381" w:type="dxa"/>
            <w:tcBorders>
              <w:top w:val="single" w:sz="6" w:space="0" w:color="8CACBB"/>
              <w:left w:val="single" w:sz="6" w:space="0" w:color="8CACBB"/>
              <w:bottom w:val="single" w:sz="6" w:space="0" w:color="8CACBB"/>
              <w:right w:val="single" w:sz="6" w:space="0" w:color="8CACBB"/>
            </w:tcBorders>
            <w:shd w:val="clear" w:color="auto" w:fill="ED7D31" w:themeFill="accent2"/>
            <w:vAlign w:val="center"/>
          </w:tcPr>
          <w:p w14:paraId="17B6FDBB" w14:textId="4BE9F337" w:rsidR="001C3140" w:rsidRPr="00D65BD6" w:rsidRDefault="001C3140" w:rsidP="00436AC2">
            <w:pPr>
              <w:tabs>
                <w:tab w:val="left" w:pos="3091"/>
              </w:tabs>
              <w:jc w:val="center"/>
              <w:rPr>
                <w:sz w:val="20"/>
                <w:szCs w:val="20"/>
              </w:rPr>
            </w:pPr>
            <w:r>
              <w:rPr>
                <w:sz w:val="20"/>
                <w:szCs w:val="20"/>
              </w:rPr>
              <w:t>Közepes</w:t>
            </w:r>
          </w:p>
        </w:tc>
        <w:tc>
          <w:tcPr>
            <w:tcW w:w="1378" w:type="dxa"/>
            <w:tcBorders>
              <w:top w:val="single" w:sz="6" w:space="0" w:color="8CACBB"/>
              <w:left w:val="single" w:sz="6" w:space="0" w:color="8CACBB"/>
              <w:bottom w:val="single" w:sz="6" w:space="0" w:color="8CACBB"/>
              <w:right w:val="single" w:sz="6" w:space="0" w:color="8CACBB"/>
            </w:tcBorders>
            <w:shd w:val="clear" w:color="auto" w:fill="FF0000"/>
            <w:tcMar>
              <w:top w:w="45" w:type="dxa"/>
              <w:left w:w="45" w:type="dxa"/>
              <w:bottom w:w="45" w:type="dxa"/>
              <w:right w:w="45" w:type="dxa"/>
            </w:tcMar>
            <w:vAlign w:val="center"/>
          </w:tcPr>
          <w:p w14:paraId="3D333CAC" w14:textId="00E1541F" w:rsidR="001C3140" w:rsidRPr="00D65BD6" w:rsidRDefault="001C3140" w:rsidP="00436AC2">
            <w:pPr>
              <w:tabs>
                <w:tab w:val="left" w:pos="3091"/>
              </w:tabs>
              <w:jc w:val="center"/>
              <w:rPr>
                <w:sz w:val="20"/>
                <w:szCs w:val="20"/>
              </w:rPr>
            </w:pPr>
            <w:r>
              <w:rPr>
                <w:sz w:val="20"/>
                <w:szCs w:val="20"/>
              </w:rPr>
              <w:t>Magas</w:t>
            </w:r>
          </w:p>
        </w:tc>
        <w:tc>
          <w:tcPr>
            <w:tcW w:w="1381" w:type="dxa"/>
            <w:tcBorders>
              <w:top w:val="single" w:sz="6" w:space="0" w:color="8CACBB"/>
              <w:left w:val="single" w:sz="6" w:space="0" w:color="8CACBB"/>
              <w:bottom w:val="single" w:sz="6" w:space="0" w:color="8CACBB"/>
              <w:right w:val="single" w:sz="6" w:space="0" w:color="8CACBB"/>
            </w:tcBorders>
            <w:shd w:val="clear" w:color="auto" w:fill="FF0000"/>
            <w:tcMar>
              <w:top w:w="45" w:type="dxa"/>
              <w:left w:w="45" w:type="dxa"/>
              <w:bottom w:w="45" w:type="dxa"/>
              <w:right w:w="45" w:type="dxa"/>
            </w:tcMar>
            <w:vAlign w:val="center"/>
          </w:tcPr>
          <w:p w14:paraId="71AB77B6" w14:textId="60C146DA" w:rsidR="001C3140" w:rsidRPr="00D65BD6" w:rsidRDefault="001C3140" w:rsidP="00436AC2">
            <w:pPr>
              <w:tabs>
                <w:tab w:val="left" w:pos="3091"/>
              </w:tabs>
              <w:jc w:val="center"/>
              <w:rPr>
                <w:sz w:val="20"/>
                <w:szCs w:val="20"/>
              </w:rPr>
            </w:pPr>
            <w:r>
              <w:rPr>
                <w:sz w:val="20"/>
                <w:szCs w:val="20"/>
              </w:rPr>
              <w:t>Magas</w:t>
            </w:r>
          </w:p>
        </w:tc>
      </w:tr>
      <w:tr w:rsidR="001C3140" w:rsidRPr="00D65BD6" w14:paraId="006D3684" w14:textId="77777777" w:rsidTr="00436AC2">
        <w:tc>
          <w:tcPr>
            <w:tcW w:w="2109"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0F21C093" w14:textId="77777777" w:rsidR="001C3140" w:rsidRPr="00D65BD6" w:rsidRDefault="001C3140" w:rsidP="00CE39B1">
            <w:pPr>
              <w:tabs>
                <w:tab w:val="left" w:pos="3091"/>
              </w:tabs>
              <w:jc w:val="left"/>
              <w:rPr>
                <w:b/>
                <w:sz w:val="20"/>
                <w:szCs w:val="20"/>
              </w:rPr>
            </w:pPr>
            <w:r w:rsidRPr="00D65BD6">
              <w:rPr>
                <w:b/>
                <w:sz w:val="20"/>
                <w:szCs w:val="20"/>
              </w:rPr>
              <w:t>5. nagyon nagy kár</w:t>
            </w:r>
          </w:p>
        </w:tc>
        <w:tc>
          <w:tcPr>
            <w:tcW w:w="1569" w:type="dxa"/>
            <w:tcBorders>
              <w:top w:val="single" w:sz="6" w:space="0" w:color="8CACBB"/>
              <w:left w:val="single" w:sz="6" w:space="0" w:color="8CACBB"/>
              <w:bottom w:val="single" w:sz="6" w:space="0" w:color="8CACBB"/>
              <w:right w:val="single" w:sz="6" w:space="0" w:color="8CACBB"/>
            </w:tcBorders>
            <w:shd w:val="clear" w:color="auto" w:fill="ED7D31" w:themeFill="accent2"/>
            <w:tcMar>
              <w:top w:w="45" w:type="dxa"/>
              <w:left w:w="45" w:type="dxa"/>
              <w:bottom w:w="45" w:type="dxa"/>
              <w:right w:w="45" w:type="dxa"/>
            </w:tcMar>
            <w:vAlign w:val="center"/>
          </w:tcPr>
          <w:p w14:paraId="1CE58FC9" w14:textId="6FC06730" w:rsidR="001C3140" w:rsidRPr="00D65BD6" w:rsidRDefault="001C3140" w:rsidP="00436AC2">
            <w:pPr>
              <w:tabs>
                <w:tab w:val="left" w:pos="3091"/>
              </w:tabs>
              <w:jc w:val="center"/>
              <w:rPr>
                <w:sz w:val="20"/>
                <w:szCs w:val="20"/>
              </w:rPr>
            </w:pPr>
            <w:r>
              <w:rPr>
                <w:sz w:val="20"/>
                <w:szCs w:val="20"/>
              </w:rPr>
              <w:t>Közepes</w:t>
            </w:r>
          </w:p>
        </w:tc>
        <w:tc>
          <w:tcPr>
            <w:tcW w:w="1238" w:type="dxa"/>
            <w:tcBorders>
              <w:top w:val="single" w:sz="6" w:space="0" w:color="8CACBB"/>
              <w:left w:val="single" w:sz="6" w:space="0" w:color="8CACBB"/>
              <w:bottom w:val="single" w:sz="6" w:space="0" w:color="8CACBB"/>
              <w:right w:val="single" w:sz="6" w:space="0" w:color="8CACBB"/>
            </w:tcBorders>
            <w:shd w:val="clear" w:color="auto" w:fill="ED7D31" w:themeFill="accent2"/>
            <w:vAlign w:val="center"/>
          </w:tcPr>
          <w:p w14:paraId="235B9DDD" w14:textId="5200C75F" w:rsidR="001C3140" w:rsidRPr="00D65BD6" w:rsidRDefault="001C3140" w:rsidP="00436AC2">
            <w:pPr>
              <w:tabs>
                <w:tab w:val="left" w:pos="3091"/>
              </w:tabs>
              <w:jc w:val="center"/>
              <w:rPr>
                <w:sz w:val="20"/>
                <w:szCs w:val="20"/>
              </w:rPr>
            </w:pPr>
            <w:r>
              <w:rPr>
                <w:sz w:val="20"/>
                <w:szCs w:val="20"/>
              </w:rPr>
              <w:t>Közepes</w:t>
            </w:r>
          </w:p>
        </w:tc>
        <w:tc>
          <w:tcPr>
            <w:tcW w:w="1381" w:type="dxa"/>
            <w:tcBorders>
              <w:top w:val="single" w:sz="6" w:space="0" w:color="8CACBB"/>
              <w:left w:val="single" w:sz="6" w:space="0" w:color="8CACBB"/>
              <w:bottom w:val="single" w:sz="6" w:space="0" w:color="8CACBB"/>
              <w:right w:val="single" w:sz="6" w:space="0" w:color="8CACBB"/>
            </w:tcBorders>
            <w:shd w:val="clear" w:color="auto" w:fill="FF0000"/>
            <w:vAlign w:val="center"/>
          </w:tcPr>
          <w:p w14:paraId="03039795" w14:textId="4BCD55C8" w:rsidR="001C3140" w:rsidRPr="00D65BD6" w:rsidRDefault="001C3140" w:rsidP="00436AC2">
            <w:pPr>
              <w:tabs>
                <w:tab w:val="left" w:pos="3091"/>
              </w:tabs>
              <w:jc w:val="center"/>
              <w:rPr>
                <w:sz w:val="20"/>
                <w:szCs w:val="20"/>
              </w:rPr>
            </w:pPr>
            <w:r>
              <w:rPr>
                <w:sz w:val="20"/>
                <w:szCs w:val="20"/>
              </w:rPr>
              <w:t>Magas</w:t>
            </w:r>
          </w:p>
        </w:tc>
        <w:tc>
          <w:tcPr>
            <w:tcW w:w="1378" w:type="dxa"/>
            <w:tcBorders>
              <w:top w:val="single" w:sz="6" w:space="0" w:color="8CACBB"/>
              <w:left w:val="single" w:sz="6" w:space="0" w:color="8CACBB"/>
              <w:bottom w:val="single" w:sz="6" w:space="0" w:color="8CACBB"/>
              <w:right w:val="single" w:sz="6" w:space="0" w:color="8CACBB"/>
            </w:tcBorders>
            <w:shd w:val="clear" w:color="auto" w:fill="FF0000"/>
            <w:tcMar>
              <w:top w:w="45" w:type="dxa"/>
              <w:left w:w="45" w:type="dxa"/>
              <w:bottom w:w="45" w:type="dxa"/>
              <w:right w:w="45" w:type="dxa"/>
            </w:tcMar>
            <w:vAlign w:val="center"/>
          </w:tcPr>
          <w:p w14:paraId="2DC9D754" w14:textId="5AFFC6E9" w:rsidR="001C3140" w:rsidRPr="00D65BD6" w:rsidRDefault="001C3140" w:rsidP="00436AC2">
            <w:pPr>
              <w:tabs>
                <w:tab w:val="left" w:pos="3091"/>
              </w:tabs>
              <w:jc w:val="center"/>
              <w:rPr>
                <w:sz w:val="20"/>
                <w:szCs w:val="20"/>
              </w:rPr>
            </w:pPr>
            <w:r>
              <w:rPr>
                <w:sz w:val="20"/>
                <w:szCs w:val="20"/>
              </w:rPr>
              <w:t>Magas</w:t>
            </w:r>
          </w:p>
        </w:tc>
        <w:tc>
          <w:tcPr>
            <w:tcW w:w="1381" w:type="dxa"/>
            <w:tcBorders>
              <w:top w:val="single" w:sz="6" w:space="0" w:color="8CACBB"/>
              <w:left w:val="single" w:sz="6" w:space="0" w:color="8CACBB"/>
              <w:bottom w:val="single" w:sz="6" w:space="0" w:color="8CACBB"/>
              <w:right w:val="single" w:sz="6" w:space="0" w:color="8CACBB"/>
            </w:tcBorders>
            <w:shd w:val="clear" w:color="auto" w:fill="FF0000"/>
            <w:tcMar>
              <w:top w:w="45" w:type="dxa"/>
              <w:left w:w="45" w:type="dxa"/>
              <w:bottom w:w="45" w:type="dxa"/>
              <w:right w:w="45" w:type="dxa"/>
            </w:tcMar>
            <w:vAlign w:val="center"/>
          </w:tcPr>
          <w:p w14:paraId="33568C08" w14:textId="20FF69DB" w:rsidR="001C3140" w:rsidRPr="00D65BD6" w:rsidRDefault="001C3140" w:rsidP="00436AC2">
            <w:pPr>
              <w:tabs>
                <w:tab w:val="left" w:pos="3091"/>
              </w:tabs>
              <w:jc w:val="center"/>
              <w:rPr>
                <w:sz w:val="20"/>
                <w:szCs w:val="20"/>
              </w:rPr>
            </w:pPr>
            <w:r>
              <w:rPr>
                <w:sz w:val="20"/>
                <w:szCs w:val="20"/>
              </w:rPr>
              <w:t>Magas</w:t>
            </w:r>
          </w:p>
        </w:tc>
      </w:tr>
    </w:tbl>
    <w:p w14:paraId="770D8BE7" w14:textId="77777777" w:rsidR="001C3140" w:rsidRPr="00D65BD6" w:rsidRDefault="001C3140" w:rsidP="009B43D4"/>
    <w:p w14:paraId="1A205C0D" w14:textId="721E65AB" w:rsidR="00F0302D" w:rsidRPr="00D65BD6" w:rsidRDefault="00F0302D" w:rsidP="00F0302D">
      <w:pPr>
        <w:rPr>
          <w:highlight w:val="yellow"/>
        </w:rPr>
      </w:pPr>
      <w:r w:rsidRPr="009514EB">
        <w:t xml:space="preserve">A káresemény mértékének a meghatározása során az adattípusokhoz és adatmennyiségekhez elsődlegesen a jogszabály, az összeghatárokhoz elsődlegesen a szervezet kockázatkezelési szabályzata szolgálhat forrásként. </w:t>
      </w:r>
      <w:r w:rsidRPr="00016CE6">
        <w:t>Az alábbi</w:t>
      </w:r>
      <w:r w:rsidR="00016CE6">
        <w:t>akban található</w:t>
      </w:r>
      <w:r w:rsidRPr="00016CE6">
        <w:t xml:space="preserve"> kárérték táblázatok az NEIH honlapján 2019 márciusában kiadott [NEIH OVI] Osztályba sorolás és védelmi intézkedés űrlap v4.60 </w:t>
      </w:r>
      <w:r w:rsidRPr="00016CE6">
        <w:rPr>
          <w:rStyle w:val="Lbjegyzet-hivatkozs"/>
        </w:rPr>
        <w:footnoteReference w:id="3"/>
      </w:r>
      <w:r w:rsidRPr="00016CE6">
        <w:t xml:space="preserve"> alapján készültek.</w:t>
      </w:r>
    </w:p>
    <w:p w14:paraId="66780EC0" w14:textId="35F0A575" w:rsidR="00F0302D" w:rsidRPr="00D65BD6" w:rsidRDefault="00F0302D" w:rsidP="00B47E0C">
      <w:pPr>
        <w:pStyle w:val="Cmsor3"/>
      </w:pPr>
      <w:bookmarkStart w:id="9" w:name="_Toc18870391"/>
      <w:bookmarkStart w:id="10" w:name="_Toc128816721"/>
      <w:r w:rsidRPr="00D65BD6">
        <w:t>Bizalmasság</w:t>
      </w:r>
      <w:r w:rsidR="0044672E">
        <w:t xml:space="preserve"> sérüléséből adódó</w:t>
      </w:r>
      <w:r w:rsidRPr="00D65BD6">
        <w:t xml:space="preserve"> kárérték </w:t>
      </w:r>
      <w:bookmarkEnd w:id="9"/>
      <w:r w:rsidR="0032795F">
        <w:t>megállapítása</w:t>
      </w:r>
      <w:bookmarkEnd w:id="10"/>
    </w:p>
    <w:p w14:paraId="59D4545B" w14:textId="4D0F0F20" w:rsidR="00F0302D" w:rsidRPr="00D65BD6" w:rsidRDefault="00F0302D" w:rsidP="00F0302D">
      <w:pPr>
        <w:tabs>
          <w:tab w:val="left" w:pos="3091"/>
        </w:tabs>
      </w:pPr>
      <w:r w:rsidRPr="00D65BD6">
        <w:t xml:space="preserve">A </w:t>
      </w:r>
      <w:r w:rsidR="00136E44" w:rsidRPr="00D65BD6">
        <w:t>bizalmasság</w:t>
      </w:r>
      <w:r w:rsidRPr="00D65BD6">
        <w:t xml:space="preserve"> az adat </w:t>
      </w:r>
      <w:r w:rsidR="006E4D73" w:rsidRPr="00D65BD6">
        <w:t xml:space="preserve">arra vonatkozó </w:t>
      </w:r>
      <w:r w:rsidR="00136E44" w:rsidRPr="00D65BD6">
        <w:t>tulajdonsága</w:t>
      </w:r>
      <w:r w:rsidRPr="00D65BD6">
        <w:t xml:space="preserve">, hogy az adatot csak az arra jogosultak </w:t>
      </w:r>
      <w:r w:rsidR="00136E44" w:rsidRPr="00D65BD6">
        <w:t>és</w:t>
      </w:r>
      <w:r w:rsidRPr="00D65BD6">
        <w:t xml:space="preserve"> csak a </w:t>
      </w:r>
      <w:r w:rsidR="00136E44" w:rsidRPr="00D65BD6">
        <w:t>jogosultságuk</w:t>
      </w:r>
      <w:r w:rsidRPr="00D65BD6">
        <w:t xml:space="preserve"> </w:t>
      </w:r>
      <w:proofErr w:type="spellStart"/>
      <w:r w:rsidRPr="00D65BD6">
        <w:t>mértékéig</w:t>
      </w:r>
      <w:proofErr w:type="spellEnd"/>
      <w:r w:rsidRPr="00D65BD6">
        <w:t xml:space="preserve"> ismerhetik meg, </w:t>
      </w:r>
      <w:r w:rsidR="00136E44" w:rsidRPr="00D65BD6">
        <w:t>használhatják</w:t>
      </w:r>
      <w:r w:rsidRPr="00D65BD6">
        <w:t xml:space="preserve"> fel, illetve rendelkezhetnek a </w:t>
      </w:r>
      <w:proofErr w:type="spellStart"/>
      <w:r w:rsidRPr="00D65BD6">
        <w:t>felhasználásáról</w:t>
      </w:r>
      <w:proofErr w:type="spellEnd"/>
      <w:r w:rsidRPr="00D65BD6">
        <w:t xml:space="preserve">. A </w:t>
      </w:r>
      <w:r w:rsidR="00136E44" w:rsidRPr="00D65BD6">
        <w:t>bizalmasság</w:t>
      </w:r>
      <w:r w:rsidRPr="00D65BD6">
        <w:t xml:space="preserve"> </w:t>
      </w:r>
      <w:r w:rsidR="00136E44" w:rsidRPr="00D65BD6">
        <w:t>elsődlegesen</w:t>
      </w:r>
      <w:r w:rsidRPr="00D65BD6">
        <w:t xml:space="preserve"> a (</w:t>
      </w:r>
      <w:r w:rsidR="00136E44" w:rsidRPr="00D65BD6">
        <w:t>különleges</w:t>
      </w:r>
      <w:r w:rsidRPr="00D65BD6">
        <w:t xml:space="preserve">) </w:t>
      </w:r>
      <w:r w:rsidR="00136E44" w:rsidRPr="00D65BD6">
        <w:t>személyes</w:t>
      </w:r>
      <w:r w:rsidRPr="00D65BD6">
        <w:t xml:space="preserve">-, </w:t>
      </w:r>
      <w:r w:rsidR="00136E44" w:rsidRPr="00D65BD6">
        <w:t>és</w:t>
      </w:r>
      <w:r w:rsidRPr="00D65BD6">
        <w:t xml:space="preserve"> </w:t>
      </w:r>
      <w:r w:rsidR="00136E44" w:rsidRPr="00D65BD6">
        <w:t>üzleti</w:t>
      </w:r>
      <w:r w:rsidRPr="00D65BD6">
        <w:t xml:space="preserve"> adatokat </w:t>
      </w:r>
      <w:r w:rsidR="00136E44" w:rsidRPr="00D65BD6">
        <w:t>kezel</w:t>
      </w:r>
      <w:r w:rsidR="00136E44">
        <w:t>ő</w:t>
      </w:r>
      <w:r w:rsidRPr="00D65BD6">
        <w:t xml:space="preserve"> </w:t>
      </w:r>
      <w:r w:rsidR="00207D0E">
        <w:t>EIR-</w:t>
      </w:r>
      <w:proofErr w:type="spellStart"/>
      <w:r w:rsidR="00207D0E" w:rsidRPr="00D65BD6">
        <w:t>eknél</w:t>
      </w:r>
      <w:proofErr w:type="spellEnd"/>
      <w:r w:rsidR="00207D0E" w:rsidRPr="00D65BD6">
        <w:t xml:space="preserve"> </w:t>
      </w:r>
      <w:r w:rsidRPr="00D65BD6">
        <w:t xml:space="preserve">lehet fontos, </w:t>
      </w:r>
      <w:r w:rsidR="00136E44" w:rsidRPr="00D65BD6">
        <w:t>tehát</w:t>
      </w:r>
      <w:r w:rsidRPr="00D65BD6">
        <w:t xml:space="preserve"> minden olyan esetben, ahol nem </w:t>
      </w:r>
      <w:r w:rsidR="00136E44" w:rsidRPr="00D65BD6">
        <w:t>szeretnénk</w:t>
      </w:r>
      <w:r w:rsidRPr="00D65BD6">
        <w:t xml:space="preserve">, ha az </w:t>
      </w:r>
      <w:r w:rsidR="00136E44" w:rsidRPr="00D65BD6">
        <w:t>informáci</w:t>
      </w:r>
      <w:r w:rsidR="00136E44">
        <w:t>ó</w:t>
      </w:r>
      <w:r w:rsidRPr="00D65BD6">
        <w:t xml:space="preserve"> </w:t>
      </w:r>
      <w:r w:rsidR="00136E44" w:rsidRPr="00D65BD6">
        <w:t>illetéktelen</w:t>
      </w:r>
      <w:r w:rsidRPr="00D65BD6">
        <w:t xml:space="preserve"> kezekbe </w:t>
      </w:r>
      <w:r w:rsidR="00136E44" w:rsidRPr="00D65BD6">
        <w:t>kerülne</w:t>
      </w:r>
      <w:r w:rsidRPr="00D65BD6">
        <w:t>.</w:t>
      </w:r>
    </w:p>
    <w:p w14:paraId="26DAC626" w14:textId="55C410D2" w:rsidR="00F0302D" w:rsidRPr="00D65BD6" w:rsidRDefault="00F0302D" w:rsidP="00F0302D">
      <w:pPr>
        <w:tabs>
          <w:tab w:val="left" w:pos="3091"/>
        </w:tabs>
      </w:pPr>
      <w:r w:rsidRPr="00D65BD6">
        <w:t xml:space="preserve">Az </w:t>
      </w:r>
      <w:r w:rsidR="00207D0E">
        <w:t>EIR</w:t>
      </w:r>
      <w:r w:rsidRPr="00D65BD6">
        <w:t xml:space="preserve"> vagy az általa kezelt adatok bizalmasságának elvesztése esetén a kár mértéke</w:t>
      </w:r>
      <w:r w:rsidR="00136E44">
        <w:rPr>
          <w:rStyle w:val="Lbjegyzet-hivatkozs"/>
        </w:rPr>
        <w:footnoteReference w:id="4"/>
      </w:r>
      <w:r w:rsidRPr="00D65BD6">
        <w:t>:</w:t>
      </w:r>
    </w:p>
    <w:tbl>
      <w:tblPr>
        <w:tblW w:w="8685" w:type="dxa"/>
        <w:shd w:val="clear" w:color="auto" w:fill="FFFFFF"/>
        <w:tblCellMar>
          <w:left w:w="0" w:type="dxa"/>
          <w:right w:w="0" w:type="dxa"/>
        </w:tblCellMar>
        <w:tblLook w:val="04A0" w:firstRow="1" w:lastRow="0" w:firstColumn="1" w:lastColumn="0" w:noHBand="0" w:noVBand="1"/>
      </w:tblPr>
      <w:tblGrid>
        <w:gridCol w:w="1420"/>
        <w:gridCol w:w="1740"/>
        <w:gridCol w:w="2990"/>
        <w:gridCol w:w="2535"/>
      </w:tblGrid>
      <w:tr w:rsidR="00F0302D" w:rsidRPr="00D65BD6" w14:paraId="371D97FE" w14:textId="77777777" w:rsidTr="00C67884">
        <w:trPr>
          <w:tblHeader/>
        </w:trPr>
        <w:tc>
          <w:tcPr>
            <w:tcW w:w="142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31F076F3" w14:textId="77777777" w:rsidR="00F0302D" w:rsidRPr="00D65BD6" w:rsidRDefault="00F0302D" w:rsidP="002677E2">
            <w:pPr>
              <w:tabs>
                <w:tab w:val="left" w:pos="3091"/>
              </w:tabs>
              <w:jc w:val="left"/>
              <w:rPr>
                <w:b/>
                <w:sz w:val="20"/>
                <w:szCs w:val="20"/>
              </w:rPr>
            </w:pPr>
            <w:r w:rsidRPr="00D65BD6">
              <w:rPr>
                <w:b/>
                <w:sz w:val="20"/>
                <w:szCs w:val="20"/>
              </w:rPr>
              <w:lastRenderedPageBreak/>
              <w:t>Kárérték szint/Kárfajta</w:t>
            </w:r>
          </w:p>
        </w:tc>
        <w:tc>
          <w:tcPr>
            <w:tcW w:w="174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71100544" w14:textId="77777777" w:rsidR="00F0302D" w:rsidRPr="00D65BD6" w:rsidRDefault="00F0302D" w:rsidP="00C67884">
            <w:pPr>
              <w:tabs>
                <w:tab w:val="left" w:pos="3091"/>
              </w:tabs>
              <w:rPr>
                <w:b/>
                <w:sz w:val="20"/>
                <w:szCs w:val="20"/>
              </w:rPr>
            </w:pPr>
            <w:r w:rsidRPr="00D65BD6">
              <w:rPr>
                <w:b/>
                <w:sz w:val="20"/>
                <w:szCs w:val="20"/>
              </w:rPr>
              <w:t>Közvetlen anyagi kár</w:t>
            </w:r>
          </w:p>
        </w:tc>
        <w:tc>
          <w:tcPr>
            <w:tcW w:w="299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0EA6FC5D" w14:textId="77777777" w:rsidR="00F0302D" w:rsidRPr="00D65BD6" w:rsidRDefault="00F0302D" w:rsidP="00C67884">
            <w:pPr>
              <w:tabs>
                <w:tab w:val="left" w:pos="3091"/>
              </w:tabs>
              <w:rPr>
                <w:b/>
                <w:sz w:val="20"/>
                <w:szCs w:val="20"/>
              </w:rPr>
            </w:pPr>
            <w:r w:rsidRPr="00D65BD6">
              <w:rPr>
                <w:b/>
                <w:sz w:val="20"/>
                <w:szCs w:val="20"/>
              </w:rPr>
              <w:t>Társadalmi-politikai hatás</w:t>
            </w:r>
          </w:p>
        </w:tc>
        <w:tc>
          <w:tcPr>
            <w:tcW w:w="2535"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372C3C99" w14:textId="77777777" w:rsidR="00F0302D" w:rsidRPr="00D65BD6" w:rsidRDefault="00F0302D" w:rsidP="00C67884">
            <w:pPr>
              <w:tabs>
                <w:tab w:val="left" w:pos="3091"/>
              </w:tabs>
              <w:rPr>
                <w:b/>
                <w:sz w:val="20"/>
                <w:szCs w:val="20"/>
              </w:rPr>
            </w:pPr>
            <w:r w:rsidRPr="00D65BD6">
              <w:rPr>
                <w:b/>
                <w:bCs/>
                <w:sz w:val="20"/>
                <w:szCs w:val="20"/>
              </w:rPr>
              <w:t>Bizalmasság sérülése</w:t>
            </w:r>
          </w:p>
        </w:tc>
      </w:tr>
      <w:tr w:rsidR="00F0302D" w:rsidRPr="00D65BD6" w14:paraId="7BC6B147" w14:textId="77777777" w:rsidTr="00C67884">
        <w:tc>
          <w:tcPr>
            <w:tcW w:w="142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055CC005" w14:textId="77777777" w:rsidR="00F0302D" w:rsidRPr="00D65BD6" w:rsidRDefault="00F0302D" w:rsidP="002677E2">
            <w:pPr>
              <w:tabs>
                <w:tab w:val="left" w:pos="3091"/>
              </w:tabs>
              <w:jc w:val="left"/>
              <w:rPr>
                <w:b/>
                <w:sz w:val="20"/>
                <w:szCs w:val="20"/>
              </w:rPr>
            </w:pPr>
            <w:r w:rsidRPr="00D65BD6">
              <w:rPr>
                <w:b/>
                <w:sz w:val="20"/>
                <w:szCs w:val="20"/>
              </w:rPr>
              <w:t>1. nem értelmezhető</w:t>
            </w:r>
          </w:p>
        </w:tc>
        <w:tc>
          <w:tcPr>
            <w:tcW w:w="174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523F4400" w14:textId="77777777" w:rsidR="00F0302D" w:rsidRPr="00D65BD6" w:rsidRDefault="00F0302D" w:rsidP="00C67884">
            <w:pPr>
              <w:tabs>
                <w:tab w:val="left" w:pos="3091"/>
              </w:tabs>
              <w:rPr>
                <w:sz w:val="20"/>
                <w:szCs w:val="20"/>
              </w:rPr>
            </w:pPr>
            <w:r w:rsidRPr="00D65BD6">
              <w:rPr>
                <w:sz w:val="20"/>
                <w:szCs w:val="20"/>
              </w:rPr>
              <w:t>Az érintett szervezet költségvetéséhez képest jelentéktelen</w:t>
            </w:r>
          </w:p>
        </w:tc>
        <w:tc>
          <w:tcPr>
            <w:tcW w:w="299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60209914" w14:textId="06EDF0FF" w:rsidR="00F0302D" w:rsidRPr="00D65BD6" w:rsidRDefault="00D22D6B" w:rsidP="00C67884">
            <w:pPr>
              <w:rPr>
                <w:sz w:val="20"/>
                <w:szCs w:val="20"/>
              </w:rPr>
            </w:pPr>
            <w:r w:rsidRPr="00D65BD6">
              <w:rPr>
                <w:sz w:val="20"/>
                <w:szCs w:val="20"/>
              </w:rPr>
              <w:t>Nincs bizalomvesztés, a</w:t>
            </w:r>
            <w:r w:rsidR="00F0302D" w:rsidRPr="00D65BD6">
              <w:rPr>
                <w:sz w:val="20"/>
                <w:szCs w:val="20"/>
              </w:rPr>
              <w:t xml:space="preserve"> probléma a szervezeten belül marad és meg is oldható</w:t>
            </w:r>
          </w:p>
        </w:tc>
        <w:tc>
          <w:tcPr>
            <w:tcW w:w="25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5D9D6F60" w14:textId="1D02BB81" w:rsidR="00F0302D" w:rsidRPr="00D65BD6" w:rsidRDefault="006B7F7B" w:rsidP="00C67884">
            <w:pPr>
              <w:rPr>
                <w:sz w:val="20"/>
                <w:szCs w:val="20"/>
              </w:rPr>
            </w:pPr>
            <w:r>
              <w:rPr>
                <w:sz w:val="20"/>
                <w:szCs w:val="20"/>
              </w:rPr>
              <w:t>Elhanyagolható</w:t>
            </w:r>
          </w:p>
        </w:tc>
      </w:tr>
      <w:tr w:rsidR="00F0302D" w:rsidRPr="00D65BD6" w14:paraId="06A0B50E" w14:textId="77777777" w:rsidTr="00C67884">
        <w:tc>
          <w:tcPr>
            <w:tcW w:w="142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108BF738" w14:textId="77777777" w:rsidR="00F0302D" w:rsidRPr="00D65BD6" w:rsidRDefault="00F0302D" w:rsidP="002677E2">
            <w:pPr>
              <w:tabs>
                <w:tab w:val="left" w:pos="3091"/>
              </w:tabs>
              <w:jc w:val="left"/>
              <w:rPr>
                <w:b/>
                <w:sz w:val="20"/>
                <w:szCs w:val="20"/>
              </w:rPr>
            </w:pPr>
            <w:r w:rsidRPr="00D65BD6">
              <w:rPr>
                <w:b/>
                <w:sz w:val="20"/>
                <w:szCs w:val="20"/>
              </w:rPr>
              <w:t>2. csekély kár</w:t>
            </w:r>
          </w:p>
        </w:tc>
        <w:tc>
          <w:tcPr>
            <w:tcW w:w="174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6497CDB9" w14:textId="77777777" w:rsidR="00F0302D" w:rsidRPr="00D65BD6" w:rsidRDefault="00F0302D" w:rsidP="00C67884">
            <w:pPr>
              <w:tabs>
                <w:tab w:val="left" w:pos="3091"/>
              </w:tabs>
              <w:rPr>
                <w:sz w:val="20"/>
                <w:szCs w:val="20"/>
              </w:rPr>
            </w:pPr>
            <w:r w:rsidRPr="00D65BD6">
              <w:rPr>
                <w:sz w:val="20"/>
                <w:szCs w:val="20"/>
              </w:rPr>
              <w:t>Eléri a szervezet költségvetésének 1%-át</w:t>
            </w:r>
          </w:p>
        </w:tc>
        <w:tc>
          <w:tcPr>
            <w:tcW w:w="299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2EBC1CC2" w14:textId="77777777" w:rsidR="00F0302D" w:rsidRPr="00D65BD6" w:rsidRDefault="00F0302D" w:rsidP="00C67884">
            <w:pPr>
              <w:tabs>
                <w:tab w:val="left" w:pos="3091"/>
              </w:tabs>
              <w:rPr>
                <w:sz w:val="20"/>
                <w:szCs w:val="20"/>
              </w:rPr>
            </w:pPr>
            <w:r w:rsidRPr="00D65BD6">
              <w:rPr>
                <w:sz w:val="20"/>
                <w:szCs w:val="20"/>
              </w:rPr>
              <w:t>Az érintett szervezeten belül kezelhető</w:t>
            </w:r>
          </w:p>
        </w:tc>
        <w:tc>
          <w:tcPr>
            <w:tcW w:w="25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01A7FD32" w14:textId="77777777" w:rsidR="00F0302D" w:rsidRPr="00D65BD6" w:rsidRDefault="00F0302D" w:rsidP="00C67884">
            <w:pPr>
              <w:tabs>
                <w:tab w:val="left" w:pos="3091"/>
              </w:tabs>
              <w:rPr>
                <w:sz w:val="20"/>
                <w:szCs w:val="20"/>
              </w:rPr>
            </w:pPr>
            <w:r w:rsidRPr="00D65BD6">
              <w:rPr>
                <w:sz w:val="20"/>
                <w:szCs w:val="20"/>
              </w:rPr>
              <w:t xml:space="preserve">Belső szabályozóval védett adat vagy néhány személyes adat bizalmassága sérülhet. </w:t>
            </w:r>
          </w:p>
          <w:p w14:paraId="24A91BEA" w14:textId="5DC62C18" w:rsidR="00F0302D" w:rsidRPr="00D65BD6" w:rsidRDefault="00F0302D" w:rsidP="00C67884">
            <w:pPr>
              <w:tabs>
                <w:tab w:val="left" w:pos="3091"/>
              </w:tabs>
              <w:rPr>
                <w:sz w:val="20"/>
                <w:szCs w:val="20"/>
              </w:rPr>
            </w:pPr>
            <w:r w:rsidRPr="00D65BD6">
              <w:rPr>
                <w:sz w:val="20"/>
                <w:szCs w:val="20"/>
              </w:rPr>
              <w:t xml:space="preserve">Az üzlet vagy ügymenet szempontjából csekély értékű, és/vagy csak </w:t>
            </w:r>
            <w:proofErr w:type="gramStart"/>
            <w:r w:rsidRPr="00D65BD6">
              <w:rPr>
                <w:sz w:val="20"/>
                <w:szCs w:val="20"/>
              </w:rPr>
              <w:t>belső szabályzóval védett adat</w:t>
            </w:r>
            <w:proofErr w:type="gramEnd"/>
            <w:r w:rsidRPr="00D65BD6">
              <w:rPr>
                <w:sz w:val="20"/>
                <w:szCs w:val="20"/>
              </w:rPr>
              <w:t xml:space="preserve"> vagy </w:t>
            </w:r>
            <w:r w:rsidR="00207D0E">
              <w:rPr>
                <w:sz w:val="20"/>
                <w:szCs w:val="20"/>
              </w:rPr>
              <w:t>EIR</w:t>
            </w:r>
            <w:r w:rsidRPr="00D65BD6">
              <w:rPr>
                <w:sz w:val="20"/>
                <w:szCs w:val="20"/>
              </w:rPr>
              <w:t xml:space="preserve"> bizalmassága sérül.</w:t>
            </w:r>
          </w:p>
        </w:tc>
      </w:tr>
      <w:tr w:rsidR="00F0302D" w:rsidRPr="00D65BD6" w14:paraId="0A24FCFA" w14:textId="77777777" w:rsidTr="00C67884">
        <w:tc>
          <w:tcPr>
            <w:tcW w:w="142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5E4E9F48" w14:textId="77777777" w:rsidR="00F0302D" w:rsidRPr="00D65BD6" w:rsidRDefault="00F0302D" w:rsidP="002677E2">
            <w:pPr>
              <w:tabs>
                <w:tab w:val="left" w:pos="3091"/>
              </w:tabs>
              <w:jc w:val="left"/>
              <w:rPr>
                <w:b/>
                <w:sz w:val="20"/>
                <w:szCs w:val="20"/>
              </w:rPr>
            </w:pPr>
            <w:r w:rsidRPr="00D65BD6">
              <w:rPr>
                <w:b/>
                <w:sz w:val="20"/>
                <w:szCs w:val="20"/>
              </w:rPr>
              <w:t>3. közepes kár</w:t>
            </w:r>
          </w:p>
        </w:tc>
        <w:tc>
          <w:tcPr>
            <w:tcW w:w="174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09417067" w14:textId="77777777" w:rsidR="00F0302D" w:rsidRPr="00D65BD6" w:rsidRDefault="00F0302D" w:rsidP="00C67884">
            <w:pPr>
              <w:tabs>
                <w:tab w:val="left" w:pos="3091"/>
              </w:tabs>
              <w:rPr>
                <w:sz w:val="20"/>
                <w:szCs w:val="20"/>
              </w:rPr>
            </w:pPr>
            <w:r w:rsidRPr="00D65BD6">
              <w:rPr>
                <w:sz w:val="20"/>
                <w:szCs w:val="20"/>
              </w:rPr>
              <w:t>Eléri a szervezet költségvetésének 5%-át</w:t>
            </w:r>
          </w:p>
        </w:tc>
        <w:tc>
          <w:tcPr>
            <w:tcW w:w="299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2E81D61E" w14:textId="77777777" w:rsidR="00F0302D" w:rsidRPr="00D65BD6" w:rsidRDefault="00F0302D" w:rsidP="00C67884">
            <w:pPr>
              <w:tabs>
                <w:tab w:val="left" w:pos="3091"/>
              </w:tabs>
              <w:rPr>
                <w:sz w:val="20"/>
                <w:szCs w:val="20"/>
              </w:rPr>
            </w:pPr>
            <w:r w:rsidRPr="00D65BD6">
              <w:rPr>
                <w:sz w:val="20"/>
                <w:szCs w:val="20"/>
              </w:rPr>
              <w:t>Bizalomvesztés a szervezeten belül, vagy szervezeti szabályokban foglalt kötelezettség sérülhet</w:t>
            </w:r>
          </w:p>
        </w:tc>
        <w:tc>
          <w:tcPr>
            <w:tcW w:w="25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4600074D" w14:textId="77777777" w:rsidR="00F0302D" w:rsidRPr="00D65BD6" w:rsidRDefault="00F0302D" w:rsidP="00C67884">
            <w:pPr>
              <w:tabs>
                <w:tab w:val="left" w:pos="3091"/>
              </w:tabs>
              <w:rPr>
                <w:sz w:val="20"/>
                <w:szCs w:val="20"/>
              </w:rPr>
            </w:pPr>
            <w:r w:rsidRPr="00D65BD6">
              <w:rPr>
                <w:sz w:val="20"/>
                <w:szCs w:val="20"/>
              </w:rPr>
              <w:t>Nagy mértékű személyes adat bizalmassága vagy különleges adat bizalmassága sérülhet</w:t>
            </w:r>
          </w:p>
        </w:tc>
      </w:tr>
      <w:tr w:rsidR="00F0302D" w:rsidRPr="00D65BD6" w14:paraId="75CD30E2" w14:textId="77777777" w:rsidTr="00C67884">
        <w:tc>
          <w:tcPr>
            <w:tcW w:w="142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4809BACB" w14:textId="77777777" w:rsidR="00F0302D" w:rsidRPr="00D65BD6" w:rsidRDefault="00F0302D" w:rsidP="002677E2">
            <w:pPr>
              <w:tabs>
                <w:tab w:val="left" w:pos="3091"/>
              </w:tabs>
              <w:jc w:val="left"/>
              <w:rPr>
                <w:b/>
                <w:sz w:val="20"/>
                <w:szCs w:val="20"/>
              </w:rPr>
            </w:pPr>
            <w:r w:rsidRPr="00D65BD6">
              <w:rPr>
                <w:b/>
                <w:sz w:val="20"/>
                <w:szCs w:val="20"/>
              </w:rPr>
              <w:t>4. nagy kár</w:t>
            </w:r>
          </w:p>
        </w:tc>
        <w:tc>
          <w:tcPr>
            <w:tcW w:w="174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384FCB86" w14:textId="77777777" w:rsidR="00F0302D" w:rsidRPr="00D65BD6" w:rsidRDefault="00F0302D" w:rsidP="00C67884">
            <w:pPr>
              <w:tabs>
                <w:tab w:val="left" w:pos="3091"/>
              </w:tabs>
              <w:rPr>
                <w:sz w:val="20"/>
                <w:szCs w:val="20"/>
              </w:rPr>
            </w:pPr>
            <w:r w:rsidRPr="00D65BD6">
              <w:rPr>
                <w:sz w:val="20"/>
                <w:szCs w:val="20"/>
              </w:rPr>
              <w:t>Eléri a szervezet költségvetésének 10%-át</w:t>
            </w:r>
          </w:p>
        </w:tc>
        <w:tc>
          <w:tcPr>
            <w:tcW w:w="299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683F9BFC" w14:textId="77777777" w:rsidR="00F0302D" w:rsidRPr="00D65BD6" w:rsidRDefault="00F0302D" w:rsidP="00C67884">
            <w:pPr>
              <w:tabs>
                <w:tab w:val="left" w:pos="3091"/>
              </w:tabs>
              <w:rPr>
                <w:sz w:val="20"/>
                <w:szCs w:val="20"/>
              </w:rPr>
            </w:pPr>
            <w:r w:rsidRPr="00D65BD6">
              <w:rPr>
                <w:sz w:val="20"/>
                <w:szCs w:val="20"/>
              </w:rPr>
              <w:t>Jogszabályok betartása vagy végrehajtása elmaradhat, bizalomvesztés a szervezeten belül, a felső vezetésben vagy vezetésben személyi felelősségre vonást kell alkalmazni.</w:t>
            </w:r>
          </w:p>
        </w:tc>
        <w:tc>
          <w:tcPr>
            <w:tcW w:w="25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6B4FF740" w14:textId="77777777" w:rsidR="00F0302D" w:rsidRPr="00D65BD6" w:rsidRDefault="00F0302D" w:rsidP="00C67884">
            <w:pPr>
              <w:tabs>
                <w:tab w:val="left" w:pos="3091"/>
              </w:tabs>
              <w:rPr>
                <w:sz w:val="20"/>
                <w:szCs w:val="20"/>
              </w:rPr>
            </w:pPr>
            <w:r w:rsidRPr="00D65BD6">
              <w:rPr>
                <w:sz w:val="20"/>
                <w:szCs w:val="20"/>
              </w:rPr>
              <w:t>Tömeges különleges személyes adat bizalmassága sérülhet</w:t>
            </w:r>
          </w:p>
        </w:tc>
      </w:tr>
      <w:tr w:rsidR="00F0302D" w:rsidRPr="00D65BD6" w14:paraId="0ACE8BE3" w14:textId="77777777" w:rsidTr="00C67884">
        <w:tc>
          <w:tcPr>
            <w:tcW w:w="142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5BD937D3" w14:textId="77777777" w:rsidR="00F0302D" w:rsidRPr="00D65BD6" w:rsidRDefault="00F0302D" w:rsidP="002677E2">
            <w:pPr>
              <w:tabs>
                <w:tab w:val="left" w:pos="3091"/>
              </w:tabs>
              <w:jc w:val="left"/>
              <w:rPr>
                <w:b/>
                <w:sz w:val="20"/>
                <w:szCs w:val="20"/>
              </w:rPr>
            </w:pPr>
            <w:r w:rsidRPr="00D65BD6">
              <w:rPr>
                <w:b/>
                <w:sz w:val="20"/>
                <w:szCs w:val="20"/>
              </w:rPr>
              <w:t>5. nagyon nagy kár</w:t>
            </w:r>
          </w:p>
        </w:tc>
        <w:tc>
          <w:tcPr>
            <w:tcW w:w="174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373F7EE2" w14:textId="77777777" w:rsidR="00F0302D" w:rsidRPr="00D65BD6" w:rsidRDefault="00F0302D" w:rsidP="00C67884">
            <w:pPr>
              <w:tabs>
                <w:tab w:val="left" w:pos="3091"/>
              </w:tabs>
              <w:rPr>
                <w:sz w:val="20"/>
                <w:szCs w:val="20"/>
              </w:rPr>
            </w:pPr>
            <w:r w:rsidRPr="00D65BD6">
              <w:rPr>
                <w:sz w:val="20"/>
                <w:szCs w:val="20"/>
              </w:rPr>
              <w:t>Eléri a szervezet költségvetésének 15%-át</w:t>
            </w:r>
          </w:p>
        </w:tc>
        <w:tc>
          <w:tcPr>
            <w:tcW w:w="299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19F366CA" w14:textId="77777777" w:rsidR="00F0302D" w:rsidRPr="00D65BD6" w:rsidRDefault="00F0302D" w:rsidP="00C67884">
            <w:pPr>
              <w:tabs>
                <w:tab w:val="left" w:pos="3091"/>
              </w:tabs>
              <w:rPr>
                <w:sz w:val="20"/>
                <w:szCs w:val="20"/>
              </w:rPr>
            </w:pPr>
            <w:r w:rsidRPr="00D65BD6">
              <w:rPr>
                <w:sz w:val="20"/>
                <w:szCs w:val="20"/>
              </w:rPr>
              <w:t>Súlyos bizalomvesztés a szervezettel szemben, alapvető emberi vagy társadalom működése szempontjából kiemelt jogok sérülhetnek.</w:t>
            </w:r>
          </w:p>
        </w:tc>
        <w:tc>
          <w:tcPr>
            <w:tcW w:w="25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29BB2030" w14:textId="77777777" w:rsidR="00F0302D" w:rsidRPr="00D65BD6" w:rsidRDefault="00F0302D" w:rsidP="00C67884">
            <w:pPr>
              <w:tabs>
                <w:tab w:val="left" w:pos="3091"/>
              </w:tabs>
              <w:rPr>
                <w:sz w:val="20"/>
                <w:szCs w:val="20"/>
              </w:rPr>
            </w:pPr>
            <w:r w:rsidRPr="00D65BD6">
              <w:rPr>
                <w:sz w:val="20"/>
                <w:szCs w:val="20"/>
              </w:rPr>
              <w:t>Kiemelten tömeges különleges adat bizalmassága sérülhet</w:t>
            </w:r>
          </w:p>
        </w:tc>
      </w:tr>
    </w:tbl>
    <w:p w14:paraId="30D92AA7" w14:textId="77777777" w:rsidR="00F0302D" w:rsidRPr="00D65BD6" w:rsidRDefault="00F0302D" w:rsidP="00F0302D">
      <w:pPr>
        <w:tabs>
          <w:tab w:val="left" w:pos="3091"/>
        </w:tabs>
      </w:pPr>
    </w:p>
    <w:p w14:paraId="1646226F" w14:textId="16C2A506" w:rsidR="00F0302D" w:rsidRPr="00D65BD6" w:rsidRDefault="00F0302D" w:rsidP="00B47E0C">
      <w:pPr>
        <w:pStyle w:val="Cmsor3"/>
      </w:pPr>
      <w:bookmarkStart w:id="11" w:name="_Toc18870392"/>
      <w:bookmarkStart w:id="12" w:name="_Toc128816722"/>
      <w:r w:rsidRPr="00D65BD6">
        <w:t xml:space="preserve">Sértetlenség </w:t>
      </w:r>
      <w:r w:rsidR="0044672E">
        <w:t>sérüléséből adódó</w:t>
      </w:r>
      <w:r w:rsidR="0044672E" w:rsidRPr="00D65BD6">
        <w:t xml:space="preserve"> </w:t>
      </w:r>
      <w:r w:rsidRPr="00D65BD6">
        <w:t xml:space="preserve">kárérték </w:t>
      </w:r>
      <w:bookmarkEnd w:id="11"/>
      <w:r w:rsidR="0032795F">
        <w:t>megállapítása</w:t>
      </w:r>
      <w:bookmarkEnd w:id="12"/>
    </w:p>
    <w:p w14:paraId="10957D48" w14:textId="267CD205" w:rsidR="00F0302D" w:rsidRPr="00D65BD6" w:rsidRDefault="00F0302D" w:rsidP="001D7D36">
      <w:pPr>
        <w:tabs>
          <w:tab w:val="left" w:pos="3091"/>
        </w:tabs>
      </w:pPr>
      <w:r w:rsidRPr="00D65BD6">
        <w:t xml:space="preserve">Az </w:t>
      </w:r>
      <w:r w:rsidR="001D7D36" w:rsidRPr="00D65BD6">
        <w:t>sértetlenség</w:t>
      </w:r>
      <w:r w:rsidRPr="00D65BD6">
        <w:t xml:space="preserve"> az adat </w:t>
      </w:r>
      <w:r w:rsidR="001D7D36" w:rsidRPr="00D65BD6">
        <w:t>tulajdonsága</w:t>
      </w:r>
      <w:r w:rsidRPr="00D65BD6">
        <w:t xml:space="preserve">, amely arra vonatkozik, hogy az adat tartalma </w:t>
      </w:r>
      <w:r w:rsidR="001D7D36" w:rsidRPr="00D65BD6">
        <w:t>és</w:t>
      </w:r>
      <w:r w:rsidRPr="00D65BD6">
        <w:t xml:space="preserve"> </w:t>
      </w:r>
      <w:r w:rsidR="001D7D36" w:rsidRPr="00D65BD6">
        <w:t>tulajdonságai</w:t>
      </w:r>
      <w:r w:rsidRPr="00D65BD6">
        <w:t xml:space="preserve"> az </w:t>
      </w:r>
      <w:proofErr w:type="spellStart"/>
      <w:r w:rsidRPr="00D65BD6">
        <w:t>elvárttal</w:t>
      </w:r>
      <w:proofErr w:type="spellEnd"/>
      <w:r w:rsidRPr="00D65BD6">
        <w:t xml:space="preserve"> megegyeznek, </w:t>
      </w:r>
      <w:r w:rsidR="001D7D36" w:rsidRPr="00D65BD6">
        <w:t>ideértve</w:t>
      </w:r>
      <w:r w:rsidRPr="00D65BD6">
        <w:t xml:space="preserve"> a </w:t>
      </w:r>
      <w:r w:rsidR="001D7D36" w:rsidRPr="00D65BD6">
        <w:t>bizonyosságot</w:t>
      </w:r>
      <w:r w:rsidRPr="00D65BD6">
        <w:t xml:space="preserve"> abban, hogy az </w:t>
      </w:r>
      <w:proofErr w:type="spellStart"/>
      <w:r w:rsidRPr="00D65BD6">
        <w:t>elvárt</w:t>
      </w:r>
      <w:proofErr w:type="spellEnd"/>
      <w:r w:rsidRPr="00D65BD6">
        <w:t xml:space="preserve"> </w:t>
      </w:r>
      <w:r w:rsidR="001D7D36" w:rsidRPr="00D65BD6">
        <w:t>forrásból</w:t>
      </w:r>
      <w:r w:rsidRPr="00D65BD6">
        <w:t xml:space="preserve"> </w:t>
      </w:r>
      <w:r w:rsidR="001D7D36" w:rsidRPr="00D65BD6">
        <w:t>származik</w:t>
      </w:r>
      <w:r w:rsidRPr="00D65BD6">
        <w:t xml:space="preserve"> (</w:t>
      </w:r>
      <w:r w:rsidR="001D7D36" w:rsidRPr="00D65BD6">
        <w:t>hitelesség</w:t>
      </w:r>
      <w:r w:rsidRPr="00D65BD6">
        <w:t xml:space="preserve">) </w:t>
      </w:r>
      <w:r w:rsidR="001D7D36" w:rsidRPr="00D65BD6">
        <w:t>és</w:t>
      </w:r>
      <w:r w:rsidRPr="00D65BD6">
        <w:t xml:space="preserve"> a </w:t>
      </w:r>
      <w:r w:rsidR="001D7D36" w:rsidRPr="00D65BD6">
        <w:t>származás</w:t>
      </w:r>
      <w:r w:rsidRPr="00D65BD6">
        <w:t xml:space="preserve"> </w:t>
      </w:r>
      <w:proofErr w:type="spellStart"/>
      <w:r w:rsidRPr="00D65BD6">
        <w:t>ellenőrizhetőségét</w:t>
      </w:r>
      <w:proofErr w:type="spellEnd"/>
      <w:r w:rsidRPr="00D65BD6">
        <w:t xml:space="preserve">, </w:t>
      </w:r>
      <w:r w:rsidR="001D7D36" w:rsidRPr="00D65BD6">
        <w:t>bizonyosságát</w:t>
      </w:r>
      <w:r w:rsidRPr="00D65BD6">
        <w:t xml:space="preserve"> (</w:t>
      </w:r>
      <w:r w:rsidR="001D7D36" w:rsidRPr="00D65BD6">
        <w:t>letagadhatatlanság</w:t>
      </w:r>
      <w:r w:rsidRPr="00D65BD6">
        <w:t xml:space="preserve">) is, illetve az </w:t>
      </w:r>
      <w:r w:rsidR="00207D0E">
        <w:t>EIR</w:t>
      </w:r>
      <w:r w:rsidRPr="00D65BD6">
        <w:t xml:space="preserve"> elemeinek azon </w:t>
      </w:r>
      <w:r w:rsidR="001D7D36" w:rsidRPr="00D65BD6">
        <w:t>tulajdonsága</w:t>
      </w:r>
      <w:r w:rsidRPr="00D65BD6">
        <w:t xml:space="preserve">, amely arra vonatkozik, hogy az </w:t>
      </w:r>
      <w:r w:rsidR="00207D0E">
        <w:t>EIR</w:t>
      </w:r>
      <w:r w:rsidRPr="00D65BD6">
        <w:t xml:space="preserve"> eleme </w:t>
      </w:r>
      <w:r w:rsidR="001D7D36" w:rsidRPr="00D65BD6">
        <w:t>rendeltetésének</w:t>
      </w:r>
      <w:r w:rsidRPr="00D65BD6">
        <w:t xml:space="preserve"> </w:t>
      </w:r>
      <w:r w:rsidR="001D7D36" w:rsidRPr="00D65BD6">
        <w:t>megfelelően</w:t>
      </w:r>
      <w:r w:rsidRPr="00D65BD6">
        <w:t xml:space="preserve"> </w:t>
      </w:r>
      <w:r w:rsidR="001D7D36" w:rsidRPr="00D65BD6">
        <w:t>használható</w:t>
      </w:r>
      <w:r w:rsidRPr="00D65BD6">
        <w:t xml:space="preserve">́. A </w:t>
      </w:r>
      <w:r w:rsidR="001D7D36" w:rsidRPr="00D65BD6">
        <w:t>sértetlenség</w:t>
      </w:r>
      <w:r w:rsidRPr="00D65BD6">
        <w:t xml:space="preserve"> olyan </w:t>
      </w:r>
      <w:r w:rsidR="00207D0E">
        <w:t>EIR-</w:t>
      </w:r>
      <w:proofErr w:type="spellStart"/>
      <w:r w:rsidR="00207D0E" w:rsidRPr="00D65BD6">
        <w:t>eknél</w:t>
      </w:r>
      <w:proofErr w:type="spellEnd"/>
      <w:r w:rsidR="00207D0E" w:rsidRPr="00D65BD6">
        <w:t xml:space="preserve"> </w:t>
      </w:r>
      <w:r w:rsidRPr="00D65BD6">
        <w:t xml:space="preserve">lehet </w:t>
      </w:r>
      <w:r w:rsidR="001D7D36" w:rsidRPr="00D65BD6">
        <w:t>vezető</w:t>
      </w:r>
      <w:r w:rsidRPr="00D65BD6">
        <w:t xml:space="preserve">̋ szempont, ahol fontos, hogy a kezelt adatokat </w:t>
      </w:r>
      <w:proofErr w:type="spellStart"/>
      <w:r w:rsidR="001D7D36" w:rsidRPr="00D65BD6">
        <w:t>illetéktelenül</w:t>
      </w:r>
      <w:proofErr w:type="spellEnd"/>
      <w:r w:rsidRPr="00D65BD6">
        <w:t xml:space="preserve"> senki ne </w:t>
      </w:r>
      <w:r w:rsidR="001D7D36" w:rsidRPr="00D65BD6">
        <w:t>változtathassa</w:t>
      </w:r>
      <w:r w:rsidRPr="00D65BD6">
        <w:t xml:space="preserve"> meg, pl. </w:t>
      </w:r>
      <w:r w:rsidR="00454742">
        <w:t xml:space="preserve">nemzeti adatvagyont kezelő </w:t>
      </w:r>
      <w:r w:rsidR="00207D0E">
        <w:t>EIR-ek</w:t>
      </w:r>
      <w:r w:rsidR="00454742">
        <w:t xml:space="preserve">, </w:t>
      </w:r>
      <w:proofErr w:type="spellStart"/>
      <w:r w:rsidRPr="00D65BD6">
        <w:t>közhiteles</w:t>
      </w:r>
      <w:proofErr w:type="spellEnd"/>
      <w:r w:rsidRPr="00D65BD6">
        <w:t xml:space="preserve"> </w:t>
      </w:r>
      <w:r w:rsidR="004B0005" w:rsidRPr="00D65BD6">
        <w:t>nyilvántartások</w:t>
      </w:r>
      <w:r w:rsidRPr="00D65BD6">
        <w:t xml:space="preserve">, </w:t>
      </w:r>
      <w:r w:rsidR="004B0005" w:rsidRPr="00D65BD6">
        <w:t>mérő</w:t>
      </w:r>
      <w:r w:rsidRPr="00D65BD6">
        <w:t xml:space="preserve">-, </w:t>
      </w:r>
      <w:r w:rsidR="00454742" w:rsidRPr="00D65BD6">
        <w:t>érzékelő</w:t>
      </w:r>
      <w:r w:rsidRPr="00D65BD6">
        <w:t xml:space="preserve"> rendszerek.</w:t>
      </w:r>
    </w:p>
    <w:p w14:paraId="1BA3C708" w14:textId="1D91DB31" w:rsidR="00F0302D" w:rsidRPr="00D65BD6" w:rsidRDefault="00F0302D" w:rsidP="00F0302D">
      <w:pPr>
        <w:tabs>
          <w:tab w:val="left" w:pos="3091"/>
        </w:tabs>
      </w:pPr>
      <w:r w:rsidRPr="00D65BD6">
        <w:t xml:space="preserve">Az </w:t>
      </w:r>
      <w:r w:rsidR="00207D0E">
        <w:t>EIR</w:t>
      </w:r>
      <w:r w:rsidRPr="00D65BD6">
        <w:t xml:space="preserve"> vagy az általa kezelt adatok sértetlenségének elvesztése esetén a kár mértéke</w:t>
      </w:r>
      <w:r w:rsidR="00BE6F21">
        <w:rPr>
          <w:rStyle w:val="Lbjegyzet-hivatkozs"/>
        </w:rPr>
        <w:footnoteReference w:id="5"/>
      </w:r>
      <w:r w:rsidRPr="00D65BD6">
        <w:t>:</w:t>
      </w:r>
    </w:p>
    <w:tbl>
      <w:tblPr>
        <w:tblW w:w="8685" w:type="dxa"/>
        <w:shd w:val="clear" w:color="auto" w:fill="FFFFFF"/>
        <w:tblCellMar>
          <w:left w:w="0" w:type="dxa"/>
          <w:right w:w="0" w:type="dxa"/>
        </w:tblCellMar>
        <w:tblLook w:val="04A0" w:firstRow="1" w:lastRow="0" w:firstColumn="1" w:lastColumn="0" w:noHBand="0" w:noVBand="1"/>
      </w:tblPr>
      <w:tblGrid>
        <w:gridCol w:w="1498"/>
        <w:gridCol w:w="1725"/>
        <w:gridCol w:w="2475"/>
        <w:gridCol w:w="2987"/>
      </w:tblGrid>
      <w:tr w:rsidR="00F0302D" w:rsidRPr="00486377" w14:paraId="4D71B0AD" w14:textId="77777777" w:rsidTr="00C67884">
        <w:tc>
          <w:tcPr>
            <w:tcW w:w="1498"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7517350D" w14:textId="77777777" w:rsidR="00F0302D" w:rsidRPr="00486377" w:rsidRDefault="00F0302D" w:rsidP="002677E2">
            <w:pPr>
              <w:jc w:val="left"/>
              <w:rPr>
                <w:rFonts w:cstheme="majorHAnsi"/>
                <w:b/>
                <w:bCs/>
              </w:rPr>
            </w:pPr>
            <w:r w:rsidRPr="00486377">
              <w:rPr>
                <w:rFonts w:cstheme="majorHAnsi"/>
                <w:b/>
                <w:bCs/>
              </w:rPr>
              <w:lastRenderedPageBreak/>
              <w:t>Kárérték szint/Kárfajta</w:t>
            </w:r>
          </w:p>
        </w:tc>
        <w:tc>
          <w:tcPr>
            <w:tcW w:w="1725" w:type="dxa"/>
            <w:tcBorders>
              <w:top w:val="single" w:sz="6" w:space="0" w:color="8CACBB"/>
              <w:left w:val="single" w:sz="6" w:space="0" w:color="8CACBB"/>
              <w:bottom w:val="single" w:sz="6" w:space="0" w:color="8CACBB"/>
              <w:right w:val="single" w:sz="6" w:space="0" w:color="8CACBB"/>
            </w:tcBorders>
            <w:shd w:val="clear" w:color="auto" w:fill="D5DCE4" w:themeFill="text2" w:themeFillTint="33"/>
            <w:tcMar>
              <w:top w:w="45" w:type="dxa"/>
              <w:left w:w="45" w:type="dxa"/>
              <w:bottom w:w="45" w:type="dxa"/>
              <w:right w:w="45" w:type="dxa"/>
            </w:tcMar>
            <w:vAlign w:val="center"/>
            <w:hideMark/>
          </w:tcPr>
          <w:p w14:paraId="165B27F0" w14:textId="77777777" w:rsidR="00F0302D" w:rsidRPr="00486377" w:rsidRDefault="00F0302D" w:rsidP="00C67884">
            <w:pPr>
              <w:rPr>
                <w:rFonts w:cstheme="majorHAnsi"/>
                <w:b/>
                <w:bCs/>
              </w:rPr>
            </w:pPr>
            <w:r w:rsidRPr="00486377">
              <w:rPr>
                <w:rFonts w:cstheme="majorHAnsi"/>
                <w:b/>
                <w:bCs/>
              </w:rPr>
              <w:t>Közvetlen anyagi kár</w:t>
            </w:r>
          </w:p>
        </w:tc>
        <w:tc>
          <w:tcPr>
            <w:tcW w:w="2475" w:type="dxa"/>
            <w:tcBorders>
              <w:top w:val="single" w:sz="6" w:space="0" w:color="8CACBB"/>
              <w:left w:val="single" w:sz="6" w:space="0" w:color="8CACBB"/>
              <w:bottom w:val="single" w:sz="6" w:space="0" w:color="8CACBB"/>
              <w:right w:val="single" w:sz="6" w:space="0" w:color="8CACBB"/>
            </w:tcBorders>
            <w:shd w:val="clear" w:color="auto" w:fill="D5DCE4" w:themeFill="text2" w:themeFillTint="33"/>
            <w:tcMar>
              <w:top w:w="45" w:type="dxa"/>
              <w:left w:w="45" w:type="dxa"/>
              <w:bottom w:w="45" w:type="dxa"/>
              <w:right w:w="45" w:type="dxa"/>
            </w:tcMar>
            <w:vAlign w:val="center"/>
            <w:hideMark/>
          </w:tcPr>
          <w:p w14:paraId="4217F189" w14:textId="77777777" w:rsidR="00F0302D" w:rsidRPr="00486377" w:rsidRDefault="00F0302D" w:rsidP="00C67884">
            <w:pPr>
              <w:rPr>
                <w:rFonts w:cstheme="majorHAnsi"/>
                <w:b/>
                <w:bCs/>
              </w:rPr>
            </w:pPr>
            <w:r w:rsidRPr="00486377">
              <w:rPr>
                <w:rFonts w:cstheme="majorHAnsi"/>
                <w:b/>
                <w:bCs/>
              </w:rPr>
              <w:t>Adat, információs rendszer sérülés</w:t>
            </w:r>
          </w:p>
        </w:tc>
        <w:tc>
          <w:tcPr>
            <w:tcW w:w="2987" w:type="dxa"/>
            <w:tcBorders>
              <w:top w:val="single" w:sz="6" w:space="0" w:color="8CACBB"/>
              <w:left w:val="single" w:sz="6" w:space="0" w:color="8CACBB"/>
              <w:bottom w:val="single" w:sz="6" w:space="0" w:color="8CACBB"/>
              <w:right w:val="single" w:sz="6" w:space="0" w:color="8CACBB"/>
            </w:tcBorders>
            <w:shd w:val="clear" w:color="auto" w:fill="D5DCE4" w:themeFill="text2" w:themeFillTint="33"/>
            <w:tcMar>
              <w:top w:w="45" w:type="dxa"/>
              <w:left w:w="45" w:type="dxa"/>
              <w:bottom w:w="45" w:type="dxa"/>
              <w:right w:w="45" w:type="dxa"/>
            </w:tcMar>
            <w:vAlign w:val="center"/>
            <w:hideMark/>
          </w:tcPr>
          <w:p w14:paraId="2B99FC52" w14:textId="77777777" w:rsidR="00F0302D" w:rsidRPr="00486377" w:rsidRDefault="00F0302D" w:rsidP="00C67884">
            <w:pPr>
              <w:rPr>
                <w:rFonts w:cstheme="majorHAnsi"/>
                <w:b/>
                <w:bCs/>
              </w:rPr>
            </w:pPr>
            <w:r w:rsidRPr="00486377">
              <w:rPr>
                <w:rFonts w:cstheme="majorHAnsi"/>
                <w:b/>
                <w:bCs/>
              </w:rPr>
              <w:t>Társadalmi-politikai hatás</w:t>
            </w:r>
          </w:p>
        </w:tc>
      </w:tr>
      <w:tr w:rsidR="00F0302D" w:rsidRPr="00D65BD6" w14:paraId="429B71BF" w14:textId="77777777" w:rsidTr="00C67884">
        <w:tc>
          <w:tcPr>
            <w:tcW w:w="1498"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1D93C35A" w14:textId="77777777" w:rsidR="00F0302D" w:rsidRPr="00D65BD6" w:rsidRDefault="00F0302D" w:rsidP="002677E2">
            <w:pPr>
              <w:tabs>
                <w:tab w:val="left" w:pos="3091"/>
              </w:tabs>
              <w:jc w:val="left"/>
              <w:rPr>
                <w:b/>
                <w:sz w:val="20"/>
                <w:szCs w:val="20"/>
              </w:rPr>
            </w:pPr>
            <w:r w:rsidRPr="00D65BD6">
              <w:rPr>
                <w:b/>
                <w:sz w:val="20"/>
                <w:szCs w:val="20"/>
              </w:rPr>
              <w:t>1. jelentéktelen kár</w:t>
            </w:r>
          </w:p>
        </w:tc>
        <w:tc>
          <w:tcPr>
            <w:tcW w:w="172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48BA19C1" w14:textId="77777777" w:rsidR="00F0302D" w:rsidRPr="00D65BD6" w:rsidRDefault="00F0302D" w:rsidP="00C67884">
            <w:pPr>
              <w:tabs>
                <w:tab w:val="left" w:pos="3091"/>
              </w:tabs>
              <w:rPr>
                <w:rFonts w:ascii="Calibri Light" w:eastAsia="Calibri Light" w:hAnsi="Calibri Light" w:cs="Calibri Light"/>
                <w:sz w:val="20"/>
                <w:szCs w:val="20"/>
              </w:rPr>
            </w:pPr>
            <w:r w:rsidRPr="00D65BD6">
              <w:rPr>
                <w:rFonts w:ascii="Calibri Light" w:eastAsia="Calibri Light" w:hAnsi="Calibri Light" w:cs="Calibri Light"/>
                <w:sz w:val="20"/>
                <w:szCs w:val="20"/>
              </w:rPr>
              <w:t>Az érintett szervezet költésvetéséhez képest jelentéktelen</w:t>
            </w:r>
          </w:p>
        </w:tc>
        <w:tc>
          <w:tcPr>
            <w:tcW w:w="247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267AD496" w14:textId="77777777" w:rsidR="00F0302D" w:rsidRPr="00D65BD6" w:rsidRDefault="00F0302D" w:rsidP="00C67884">
            <w:pPr>
              <w:tabs>
                <w:tab w:val="left" w:pos="3091"/>
              </w:tabs>
              <w:rPr>
                <w:rFonts w:ascii="Calibri Light" w:eastAsia="Calibri Light" w:hAnsi="Calibri Light" w:cs="Calibri Light"/>
                <w:sz w:val="20"/>
                <w:szCs w:val="20"/>
              </w:rPr>
            </w:pPr>
            <w:r w:rsidRPr="00D65BD6">
              <w:rPr>
                <w:rFonts w:ascii="Calibri Light" w:eastAsia="Calibri Light" w:hAnsi="Calibri Light" w:cs="Calibri Light"/>
                <w:sz w:val="20"/>
                <w:szCs w:val="20"/>
              </w:rPr>
              <w:t>Az érintett szervezet költésvetéséhez képest jelentéktelen</w:t>
            </w:r>
          </w:p>
        </w:tc>
        <w:tc>
          <w:tcPr>
            <w:tcW w:w="2987"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513A3F4E" w14:textId="77777777" w:rsidR="00F0302D" w:rsidRPr="00D65BD6" w:rsidRDefault="00F0302D" w:rsidP="00C67884">
            <w:pPr>
              <w:tabs>
                <w:tab w:val="left" w:pos="3091"/>
              </w:tabs>
              <w:rPr>
                <w:sz w:val="20"/>
                <w:szCs w:val="20"/>
              </w:rPr>
            </w:pPr>
            <w:r w:rsidRPr="00D65BD6">
              <w:rPr>
                <w:sz w:val="20"/>
                <w:szCs w:val="20"/>
              </w:rPr>
              <w:t>A probléma a szervezeten belül marad és meg is oldható</w:t>
            </w:r>
          </w:p>
        </w:tc>
      </w:tr>
      <w:tr w:rsidR="00F0302D" w:rsidRPr="00D65BD6" w14:paraId="4C5154D3" w14:textId="77777777" w:rsidTr="00C67884">
        <w:tc>
          <w:tcPr>
            <w:tcW w:w="1498"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60678121" w14:textId="77777777" w:rsidR="00F0302D" w:rsidRPr="00D65BD6" w:rsidRDefault="00F0302D" w:rsidP="002677E2">
            <w:pPr>
              <w:tabs>
                <w:tab w:val="left" w:pos="3091"/>
              </w:tabs>
              <w:jc w:val="left"/>
              <w:rPr>
                <w:b/>
                <w:sz w:val="20"/>
                <w:szCs w:val="20"/>
              </w:rPr>
            </w:pPr>
            <w:r w:rsidRPr="00D65BD6">
              <w:rPr>
                <w:b/>
                <w:sz w:val="20"/>
                <w:szCs w:val="20"/>
              </w:rPr>
              <w:t>2. csekély kár</w:t>
            </w:r>
          </w:p>
        </w:tc>
        <w:tc>
          <w:tcPr>
            <w:tcW w:w="172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7DD1B988" w14:textId="77777777" w:rsidR="00F0302D" w:rsidRPr="00D65BD6" w:rsidRDefault="00F0302D" w:rsidP="00C67884">
            <w:pPr>
              <w:tabs>
                <w:tab w:val="left" w:pos="3091"/>
              </w:tabs>
              <w:rPr>
                <w:sz w:val="20"/>
                <w:szCs w:val="20"/>
              </w:rPr>
            </w:pPr>
            <w:r w:rsidRPr="00D65BD6">
              <w:rPr>
                <w:sz w:val="20"/>
                <w:szCs w:val="20"/>
              </w:rPr>
              <w:t>Eléri a szervezet költségvetésének 1%-át</w:t>
            </w:r>
          </w:p>
          <w:p w14:paraId="71C7A1D8" w14:textId="77777777" w:rsidR="00F0302D" w:rsidRPr="00D65BD6" w:rsidRDefault="00F0302D" w:rsidP="00C67884">
            <w:pPr>
              <w:tabs>
                <w:tab w:val="left" w:pos="3091"/>
              </w:tabs>
              <w:rPr>
                <w:sz w:val="20"/>
                <w:szCs w:val="20"/>
              </w:rPr>
            </w:pPr>
          </w:p>
        </w:tc>
        <w:tc>
          <w:tcPr>
            <w:tcW w:w="247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1298DD06" w14:textId="6F5CD0DB" w:rsidR="00F0302D" w:rsidRPr="00D65BD6" w:rsidRDefault="00F0302D" w:rsidP="00C67884">
            <w:pPr>
              <w:tabs>
                <w:tab w:val="left" w:pos="3091"/>
              </w:tabs>
              <w:rPr>
                <w:sz w:val="20"/>
                <w:szCs w:val="20"/>
              </w:rPr>
            </w:pPr>
            <w:r w:rsidRPr="00D65BD6">
              <w:rPr>
                <w:sz w:val="20"/>
                <w:szCs w:val="20"/>
              </w:rPr>
              <w:t>Az üzlet vagy ügymenet szempontjából csekély értékű, és/vagy csak belső szabályzóval védett adat</w:t>
            </w:r>
            <w:r w:rsidR="00D602B8">
              <w:rPr>
                <w:sz w:val="20"/>
                <w:szCs w:val="20"/>
              </w:rPr>
              <w:t>,</w:t>
            </w:r>
            <w:r w:rsidRPr="00D65BD6">
              <w:rPr>
                <w:sz w:val="20"/>
                <w:szCs w:val="20"/>
              </w:rPr>
              <w:t xml:space="preserve"> vagy </w:t>
            </w:r>
            <w:r w:rsidR="00207D0E">
              <w:rPr>
                <w:sz w:val="20"/>
                <w:szCs w:val="20"/>
              </w:rPr>
              <w:t>EIR</w:t>
            </w:r>
            <w:r w:rsidRPr="00D65BD6">
              <w:rPr>
                <w:sz w:val="20"/>
                <w:szCs w:val="20"/>
              </w:rPr>
              <w:t xml:space="preserve"> sérül.</w:t>
            </w:r>
          </w:p>
        </w:tc>
        <w:tc>
          <w:tcPr>
            <w:tcW w:w="2987"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0D63E4E8" w14:textId="77777777" w:rsidR="00F0302D" w:rsidRPr="00D65BD6" w:rsidRDefault="00F0302D" w:rsidP="00C67884">
            <w:pPr>
              <w:tabs>
                <w:tab w:val="left" w:pos="3091"/>
              </w:tabs>
              <w:rPr>
                <w:sz w:val="20"/>
                <w:szCs w:val="20"/>
              </w:rPr>
            </w:pPr>
            <w:r w:rsidRPr="00D65BD6">
              <w:rPr>
                <w:sz w:val="20"/>
                <w:szCs w:val="20"/>
              </w:rPr>
              <w:t>A társadalmi hatás az érintett szervezeten belül kezelhető</w:t>
            </w:r>
          </w:p>
        </w:tc>
      </w:tr>
      <w:tr w:rsidR="00F0302D" w:rsidRPr="00D65BD6" w14:paraId="4DE9E0E1" w14:textId="77777777" w:rsidTr="00C67884">
        <w:tc>
          <w:tcPr>
            <w:tcW w:w="1498"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672FF37F" w14:textId="77777777" w:rsidR="00F0302D" w:rsidRPr="00D65BD6" w:rsidRDefault="00F0302D" w:rsidP="002677E2">
            <w:pPr>
              <w:tabs>
                <w:tab w:val="left" w:pos="3091"/>
              </w:tabs>
              <w:jc w:val="left"/>
              <w:rPr>
                <w:b/>
                <w:sz w:val="20"/>
                <w:szCs w:val="20"/>
              </w:rPr>
            </w:pPr>
            <w:r w:rsidRPr="00D65BD6">
              <w:rPr>
                <w:b/>
                <w:sz w:val="20"/>
                <w:szCs w:val="20"/>
              </w:rPr>
              <w:t>3. közepes kár</w:t>
            </w:r>
          </w:p>
        </w:tc>
        <w:tc>
          <w:tcPr>
            <w:tcW w:w="172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359D4EF7" w14:textId="77777777" w:rsidR="00F0302D" w:rsidRPr="00D65BD6" w:rsidRDefault="00F0302D" w:rsidP="00C67884">
            <w:pPr>
              <w:tabs>
                <w:tab w:val="left" w:pos="3091"/>
              </w:tabs>
              <w:rPr>
                <w:sz w:val="20"/>
                <w:szCs w:val="20"/>
              </w:rPr>
            </w:pPr>
            <w:r w:rsidRPr="00D65BD6">
              <w:rPr>
                <w:sz w:val="20"/>
                <w:szCs w:val="20"/>
              </w:rPr>
              <w:t>Eléri a szervezet költségvetésének 5%-át</w:t>
            </w:r>
          </w:p>
          <w:p w14:paraId="6EEB2EEC" w14:textId="77777777" w:rsidR="00F0302D" w:rsidRPr="00D65BD6" w:rsidRDefault="00F0302D" w:rsidP="00C67884">
            <w:pPr>
              <w:tabs>
                <w:tab w:val="left" w:pos="3091"/>
              </w:tabs>
              <w:rPr>
                <w:sz w:val="20"/>
                <w:szCs w:val="20"/>
              </w:rPr>
            </w:pPr>
          </w:p>
        </w:tc>
        <w:tc>
          <w:tcPr>
            <w:tcW w:w="247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4F7401BA" w14:textId="37B69623" w:rsidR="00F0302D" w:rsidRPr="00D65BD6" w:rsidRDefault="00F0302D" w:rsidP="00C67884">
            <w:pPr>
              <w:tabs>
                <w:tab w:val="left" w:pos="3091"/>
              </w:tabs>
              <w:rPr>
                <w:sz w:val="20"/>
                <w:szCs w:val="20"/>
              </w:rPr>
            </w:pPr>
            <w:r w:rsidRPr="00D65BD6">
              <w:rPr>
                <w:sz w:val="20"/>
                <w:szCs w:val="20"/>
              </w:rPr>
              <w:t xml:space="preserve">Az üzlet- vagy ügymenet szempontjából érzékeny folyamatokat kezelő </w:t>
            </w:r>
            <w:r w:rsidR="00207D0E">
              <w:rPr>
                <w:sz w:val="20"/>
                <w:szCs w:val="20"/>
              </w:rPr>
              <w:t>EIR</w:t>
            </w:r>
            <w:r w:rsidRPr="00D65BD6">
              <w:rPr>
                <w:sz w:val="20"/>
                <w:szCs w:val="20"/>
              </w:rPr>
              <w:t>, információt képező adat vagy egyéb jogszabállyal védett adat sérül.</w:t>
            </w:r>
          </w:p>
        </w:tc>
        <w:tc>
          <w:tcPr>
            <w:tcW w:w="2987"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30732F49" w14:textId="77777777" w:rsidR="00F0302D" w:rsidRPr="00D65BD6" w:rsidRDefault="00F0302D" w:rsidP="00C67884">
            <w:pPr>
              <w:tabs>
                <w:tab w:val="left" w:pos="3091"/>
              </w:tabs>
              <w:rPr>
                <w:sz w:val="20"/>
                <w:szCs w:val="20"/>
              </w:rPr>
            </w:pPr>
            <w:r w:rsidRPr="00D65BD6">
              <w:rPr>
                <w:sz w:val="20"/>
                <w:szCs w:val="20"/>
              </w:rPr>
              <w:t>Bizalomvesztés a szervezeten belül, vagy szervezeti szabályokban foglalt kötelezettség sérülhet</w:t>
            </w:r>
            <w:r w:rsidRPr="00D65BD6">
              <w:br/>
            </w:r>
          </w:p>
        </w:tc>
      </w:tr>
      <w:tr w:rsidR="00F0302D" w:rsidRPr="00D65BD6" w14:paraId="35256D3B" w14:textId="77777777" w:rsidTr="00C67884">
        <w:tc>
          <w:tcPr>
            <w:tcW w:w="1498"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2064FE05" w14:textId="77777777" w:rsidR="00F0302D" w:rsidRPr="00D65BD6" w:rsidRDefault="00F0302D" w:rsidP="002677E2">
            <w:pPr>
              <w:tabs>
                <w:tab w:val="left" w:pos="3091"/>
              </w:tabs>
              <w:jc w:val="left"/>
              <w:rPr>
                <w:b/>
                <w:sz w:val="20"/>
                <w:szCs w:val="20"/>
              </w:rPr>
            </w:pPr>
            <w:r w:rsidRPr="00D65BD6">
              <w:rPr>
                <w:b/>
                <w:sz w:val="20"/>
                <w:szCs w:val="20"/>
              </w:rPr>
              <w:t>4. nagy kár</w:t>
            </w:r>
          </w:p>
        </w:tc>
        <w:tc>
          <w:tcPr>
            <w:tcW w:w="172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5D71B6F8" w14:textId="77777777" w:rsidR="00F0302D" w:rsidRPr="00D65BD6" w:rsidRDefault="00F0302D" w:rsidP="00C67884">
            <w:pPr>
              <w:tabs>
                <w:tab w:val="left" w:pos="3091"/>
              </w:tabs>
              <w:rPr>
                <w:sz w:val="20"/>
                <w:szCs w:val="20"/>
              </w:rPr>
            </w:pPr>
            <w:r w:rsidRPr="00D65BD6">
              <w:rPr>
                <w:sz w:val="20"/>
                <w:szCs w:val="20"/>
              </w:rPr>
              <w:t>Eléri a szervezet költségvetésének 10%-át</w:t>
            </w:r>
          </w:p>
          <w:p w14:paraId="6E8527ED" w14:textId="77777777" w:rsidR="00F0302D" w:rsidRPr="00D65BD6" w:rsidRDefault="00F0302D" w:rsidP="00C67884">
            <w:pPr>
              <w:tabs>
                <w:tab w:val="left" w:pos="3091"/>
              </w:tabs>
              <w:rPr>
                <w:sz w:val="20"/>
                <w:szCs w:val="20"/>
              </w:rPr>
            </w:pPr>
          </w:p>
        </w:tc>
        <w:tc>
          <w:tcPr>
            <w:tcW w:w="247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05599527" w14:textId="72AA86F7" w:rsidR="00F0302D" w:rsidRPr="00D65BD6" w:rsidRDefault="00F0302D" w:rsidP="00C67884">
            <w:pPr>
              <w:tabs>
                <w:tab w:val="left" w:pos="3091"/>
              </w:tabs>
              <w:rPr>
                <w:sz w:val="20"/>
                <w:szCs w:val="20"/>
              </w:rPr>
            </w:pPr>
            <w:r w:rsidRPr="00D65BD6">
              <w:rPr>
                <w:sz w:val="20"/>
                <w:szCs w:val="20"/>
              </w:rPr>
              <w:t xml:space="preserve">Az üzlet- vagy ügymenet szempontjából nagy értékű, üzleti titkot, vagy különösen érzékeny folyamatokat kezelő </w:t>
            </w:r>
            <w:r w:rsidR="00207D0E">
              <w:rPr>
                <w:sz w:val="20"/>
                <w:szCs w:val="20"/>
              </w:rPr>
              <w:t>EIR</w:t>
            </w:r>
            <w:r w:rsidRPr="00D65BD6">
              <w:rPr>
                <w:sz w:val="20"/>
                <w:szCs w:val="20"/>
              </w:rPr>
              <w:t xml:space="preserve"> vagy információt képező adattömegesen, vagy jelentősen sérül</w:t>
            </w:r>
          </w:p>
        </w:tc>
        <w:tc>
          <w:tcPr>
            <w:tcW w:w="2987"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58BBBBEE" w14:textId="77777777" w:rsidR="00F0302D" w:rsidRPr="00D65BD6" w:rsidRDefault="00F0302D" w:rsidP="00C67884">
            <w:pPr>
              <w:tabs>
                <w:tab w:val="left" w:pos="3091"/>
              </w:tabs>
              <w:rPr>
                <w:sz w:val="20"/>
                <w:szCs w:val="20"/>
              </w:rPr>
            </w:pPr>
            <w:r w:rsidRPr="00D65BD6">
              <w:rPr>
                <w:sz w:val="20"/>
                <w:szCs w:val="20"/>
              </w:rPr>
              <w:t>Jogszabályok betartása vagy végrehajtása elmaradhat, bizalomvesztés a szervezeten belül, a felső vezetésben vagy vezetésben személyi felelősségre vonást kell alkalmazni.</w:t>
            </w:r>
          </w:p>
        </w:tc>
      </w:tr>
      <w:tr w:rsidR="00F0302D" w:rsidRPr="00D65BD6" w14:paraId="14AF13DF" w14:textId="77777777" w:rsidTr="00C67884">
        <w:tc>
          <w:tcPr>
            <w:tcW w:w="1498"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77DC4D1E" w14:textId="77777777" w:rsidR="00F0302D" w:rsidRPr="00D65BD6" w:rsidRDefault="00F0302D" w:rsidP="002677E2">
            <w:pPr>
              <w:tabs>
                <w:tab w:val="left" w:pos="3091"/>
              </w:tabs>
              <w:jc w:val="left"/>
              <w:rPr>
                <w:b/>
                <w:sz w:val="20"/>
                <w:szCs w:val="20"/>
              </w:rPr>
            </w:pPr>
            <w:r w:rsidRPr="00D65BD6">
              <w:rPr>
                <w:b/>
                <w:sz w:val="20"/>
                <w:szCs w:val="20"/>
              </w:rPr>
              <w:t>5. nagyon nagy kár</w:t>
            </w:r>
          </w:p>
        </w:tc>
        <w:tc>
          <w:tcPr>
            <w:tcW w:w="172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59876C30" w14:textId="77777777" w:rsidR="00F0302D" w:rsidRPr="00D65BD6" w:rsidRDefault="00F0302D" w:rsidP="00C67884">
            <w:pPr>
              <w:tabs>
                <w:tab w:val="left" w:pos="3091"/>
              </w:tabs>
              <w:rPr>
                <w:sz w:val="20"/>
                <w:szCs w:val="20"/>
              </w:rPr>
            </w:pPr>
            <w:r w:rsidRPr="00D65BD6">
              <w:rPr>
                <w:sz w:val="20"/>
                <w:szCs w:val="20"/>
              </w:rPr>
              <w:t>Eléri a szervezet költségvetésének 15%-át</w:t>
            </w:r>
          </w:p>
        </w:tc>
        <w:tc>
          <w:tcPr>
            <w:tcW w:w="247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3B4E43AE" w14:textId="77777777" w:rsidR="00F0302D" w:rsidRPr="00D65BD6" w:rsidRDefault="00F0302D" w:rsidP="00C67884">
            <w:pPr>
              <w:tabs>
                <w:tab w:val="left" w:pos="3091"/>
              </w:tabs>
              <w:rPr>
                <w:sz w:val="20"/>
                <w:szCs w:val="20"/>
              </w:rPr>
            </w:pPr>
            <w:r w:rsidRPr="00D65BD6">
              <w:rPr>
                <w:sz w:val="20"/>
                <w:szCs w:val="20"/>
              </w:rPr>
              <w:t>A nemzeti adatvagyon helyreállíthatatlanul megsérül</w:t>
            </w:r>
          </w:p>
        </w:tc>
        <w:tc>
          <w:tcPr>
            <w:tcW w:w="2987"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448746AC" w14:textId="77777777" w:rsidR="00F0302D" w:rsidRPr="00D65BD6" w:rsidRDefault="00F0302D" w:rsidP="00C67884">
            <w:pPr>
              <w:tabs>
                <w:tab w:val="left" w:pos="3091"/>
              </w:tabs>
              <w:rPr>
                <w:sz w:val="20"/>
                <w:szCs w:val="20"/>
              </w:rPr>
            </w:pPr>
            <w:r w:rsidRPr="00D65BD6">
              <w:rPr>
                <w:sz w:val="20"/>
                <w:szCs w:val="20"/>
              </w:rPr>
              <w:t>Súlyos bizalomvesztés a szervezettel szemben, alapvető emberi vagy társadalom működése szempontjából kiemelt jogok sérülhetnek.</w:t>
            </w:r>
          </w:p>
        </w:tc>
      </w:tr>
    </w:tbl>
    <w:p w14:paraId="1B9A0E42" w14:textId="77777777" w:rsidR="00F0302D" w:rsidRPr="00D65BD6" w:rsidRDefault="00F0302D" w:rsidP="00F0302D">
      <w:pPr>
        <w:tabs>
          <w:tab w:val="left" w:pos="3091"/>
        </w:tabs>
      </w:pPr>
    </w:p>
    <w:p w14:paraId="0021AEF5" w14:textId="215A21BD" w:rsidR="00F0302D" w:rsidRPr="00D65BD6" w:rsidRDefault="00F0302D" w:rsidP="00B47E0C">
      <w:pPr>
        <w:pStyle w:val="Cmsor3"/>
      </w:pPr>
      <w:bookmarkStart w:id="13" w:name="_Toc18870393"/>
      <w:bookmarkStart w:id="14" w:name="_Toc128816723"/>
      <w:r w:rsidRPr="00D65BD6">
        <w:t>Rendelkezésre állás</w:t>
      </w:r>
      <w:r w:rsidR="0044672E" w:rsidRPr="0044672E">
        <w:t xml:space="preserve"> </w:t>
      </w:r>
      <w:r w:rsidR="0044672E">
        <w:t>sérüléséből adódó</w:t>
      </w:r>
      <w:r w:rsidRPr="00D65BD6">
        <w:t xml:space="preserve"> kárérték </w:t>
      </w:r>
      <w:bookmarkEnd w:id="13"/>
      <w:r w:rsidR="0032795F">
        <w:t>megállapítása</w:t>
      </w:r>
      <w:bookmarkEnd w:id="14"/>
    </w:p>
    <w:p w14:paraId="261C7FB8" w14:textId="61DFE254" w:rsidR="001D7D36" w:rsidRPr="00D65BD6" w:rsidRDefault="00374D52" w:rsidP="001D7D36">
      <w:pPr>
        <w:tabs>
          <w:tab w:val="left" w:pos="3091"/>
        </w:tabs>
      </w:pPr>
      <w:r w:rsidRPr="00D65BD6">
        <w:t xml:space="preserve">A </w:t>
      </w:r>
      <w:r w:rsidR="001D7D36" w:rsidRPr="00D65BD6">
        <w:t>rendelkezésre</w:t>
      </w:r>
      <w:r w:rsidRPr="00D65BD6">
        <w:t xml:space="preserve"> </w:t>
      </w:r>
      <w:r w:rsidR="001D7D36" w:rsidRPr="00D65BD6">
        <w:t>áll</w:t>
      </w:r>
      <w:r w:rsidR="001D7D36">
        <w:t>á</w:t>
      </w:r>
      <w:r w:rsidR="001D7D36" w:rsidRPr="00D65BD6">
        <w:t>s</w:t>
      </w:r>
      <w:r w:rsidRPr="00D65BD6">
        <w:t xml:space="preserve"> az adat, illetve az </w:t>
      </w:r>
      <w:r w:rsidR="00207D0E">
        <w:t>EIR</w:t>
      </w:r>
      <w:r w:rsidRPr="00D65BD6">
        <w:t xml:space="preserve"> elemeinek olyan </w:t>
      </w:r>
      <w:r w:rsidR="001D7D36" w:rsidRPr="00D65BD6">
        <w:t>állapota</w:t>
      </w:r>
      <w:r w:rsidRPr="00D65BD6">
        <w:t xml:space="preserve">, amelyben az az arra jogosultak </w:t>
      </w:r>
      <w:r w:rsidR="001D7D36" w:rsidRPr="00D65BD6">
        <w:t>által</w:t>
      </w:r>
      <w:r w:rsidRPr="00D65BD6">
        <w:t xml:space="preserve"> a </w:t>
      </w:r>
      <w:r w:rsidR="001D7D36" w:rsidRPr="00D65BD6">
        <w:t>szükséges</w:t>
      </w:r>
      <w:r w:rsidRPr="00D65BD6">
        <w:t xml:space="preserve"> </w:t>
      </w:r>
      <w:r w:rsidR="001D7D36" w:rsidRPr="00D65BD6">
        <w:t>időben</w:t>
      </w:r>
      <w:r w:rsidRPr="00D65BD6">
        <w:t xml:space="preserve"> </w:t>
      </w:r>
      <w:r w:rsidR="001D7D36" w:rsidRPr="00D65BD6">
        <w:t>és</w:t>
      </w:r>
      <w:r w:rsidRPr="00D65BD6">
        <w:t xml:space="preserve"> </w:t>
      </w:r>
      <w:r w:rsidR="001D7D36" w:rsidRPr="00D65BD6">
        <w:t>időtartamra</w:t>
      </w:r>
      <w:r w:rsidRPr="00D65BD6">
        <w:t xml:space="preserve"> </w:t>
      </w:r>
      <w:r w:rsidR="001D7D36" w:rsidRPr="00D65BD6">
        <w:t>használható</w:t>
      </w:r>
      <w:r w:rsidRPr="00D65BD6">
        <w:t xml:space="preserve">́. </w:t>
      </w:r>
      <w:r w:rsidR="001D7D36" w:rsidRPr="00D65BD6">
        <w:t>Azoknál</w:t>
      </w:r>
      <w:r w:rsidRPr="00D65BD6">
        <w:t xml:space="preserve"> a </w:t>
      </w:r>
      <w:r w:rsidR="00207D0E">
        <w:t>EIR-</w:t>
      </w:r>
      <w:proofErr w:type="spellStart"/>
      <w:r w:rsidR="00207D0E" w:rsidRPr="00D65BD6">
        <w:t>eknél</w:t>
      </w:r>
      <w:proofErr w:type="spellEnd"/>
      <w:r w:rsidRPr="00D65BD6">
        <w:t xml:space="preserve">, ahol </w:t>
      </w:r>
      <w:r w:rsidR="001D7D36" w:rsidRPr="00D65BD6">
        <w:t>alapvet</w:t>
      </w:r>
      <w:r w:rsidR="001D7D36">
        <w:t>ő</w:t>
      </w:r>
      <w:r w:rsidRPr="00D65BD6">
        <w:t xml:space="preserve"> </w:t>
      </w:r>
      <w:r w:rsidR="001D7D36" w:rsidRPr="00D65BD6">
        <w:t>igény</w:t>
      </w:r>
      <w:r w:rsidRPr="00D65BD6">
        <w:t xml:space="preserve"> a </w:t>
      </w:r>
      <w:proofErr w:type="spellStart"/>
      <w:r w:rsidRPr="00D65BD6">
        <w:t>működés</w:t>
      </w:r>
      <w:proofErr w:type="spellEnd"/>
      <w:r w:rsidRPr="00D65BD6">
        <w:t xml:space="preserve"> </w:t>
      </w:r>
      <w:r w:rsidR="001D7D36" w:rsidRPr="00D65BD6">
        <w:t>fenntartása</w:t>
      </w:r>
      <w:r w:rsidRPr="00D65BD6">
        <w:t xml:space="preserve">, pl. a </w:t>
      </w:r>
      <w:r w:rsidR="001D7D36" w:rsidRPr="00D65BD6">
        <w:t>létfontosságú</w:t>
      </w:r>
      <w:r w:rsidRPr="00D65BD6">
        <w:t xml:space="preserve"> </w:t>
      </w:r>
      <w:r w:rsidR="00207D0E">
        <w:t>EIR</w:t>
      </w:r>
      <w:r w:rsidR="001D7D36">
        <w:t xml:space="preserve"> elemek és </w:t>
      </w:r>
      <w:r w:rsidRPr="00D65BD6">
        <w:t>rendszerek</w:t>
      </w:r>
      <w:r w:rsidR="001D7D36">
        <w:t xml:space="preserve"> a</w:t>
      </w:r>
      <w:r w:rsidRPr="00D65BD6">
        <w:t xml:space="preserve"> </w:t>
      </w:r>
      <w:r w:rsidR="001D7D36" w:rsidRPr="00D65BD6">
        <w:t>rendelkezésre</w:t>
      </w:r>
      <w:r w:rsidRPr="00D65BD6">
        <w:t xml:space="preserve"> </w:t>
      </w:r>
      <w:r w:rsidR="001D7D36" w:rsidRPr="00D65BD6">
        <w:t>állás</w:t>
      </w:r>
      <w:r w:rsidR="001D7D36">
        <w:t xml:space="preserve"> kiemelt fontosságú</w:t>
      </w:r>
      <w:r w:rsidRPr="00D65BD6">
        <w:t>.</w:t>
      </w:r>
    </w:p>
    <w:p w14:paraId="27418A3A" w14:textId="64FAAAB9" w:rsidR="00F0302D" w:rsidRPr="00D65BD6" w:rsidRDefault="00F0302D" w:rsidP="00F0302D">
      <w:pPr>
        <w:tabs>
          <w:tab w:val="left" w:pos="3091"/>
        </w:tabs>
      </w:pPr>
      <w:r w:rsidRPr="00D65BD6">
        <w:t xml:space="preserve">Az </w:t>
      </w:r>
      <w:r w:rsidR="00207D0E">
        <w:t>EIR</w:t>
      </w:r>
      <w:r w:rsidRPr="00D65BD6">
        <w:t xml:space="preserve"> vagy az abban tárolt adatok rendelkezésre állásának elvesztése esetén (nem elérhető a rendszer vagy az adat) a kár mértéke</w:t>
      </w:r>
      <w:r w:rsidR="00BE6F21">
        <w:rPr>
          <w:rStyle w:val="Lbjegyzet-hivatkozs"/>
        </w:rPr>
        <w:footnoteReference w:id="6"/>
      </w:r>
      <w:r w:rsidRPr="00D65BD6">
        <w:t>:</w:t>
      </w:r>
    </w:p>
    <w:tbl>
      <w:tblPr>
        <w:tblW w:w="8497" w:type="dxa"/>
        <w:shd w:val="clear" w:color="auto" w:fill="FFFFFF"/>
        <w:tblCellMar>
          <w:left w:w="0" w:type="dxa"/>
          <w:right w:w="0" w:type="dxa"/>
        </w:tblCellMar>
        <w:tblLook w:val="04A0" w:firstRow="1" w:lastRow="0" w:firstColumn="1" w:lastColumn="0" w:noHBand="0" w:noVBand="1"/>
      </w:tblPr>
      <w:tblGrid>
        <w:gridCol w:w="1184"/>
        <w:gridCol w:w="2069"/>
        <w:gridCol w:w="2409"/>
        <w:gridCol w:w="2835"/>
      </w:tblGrid>
      <w:tr w:rsidR="00BE6F21" w:rsidRPr="00D65BD6" w14:paraId="7ADDBC3D" w14:textId="77777777" w:rsidTr="00BE6F21">
        <w:trPr>
          <w:tblHeader/>
        </w:trPr>
        <w:tc>
          <w:tcPr>
            <w:tcW w:w="1184"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1860A6C5" w14:textId="77777777" w:rsidR="00BE6F21" w:rsidRPr="00D65BD6" w:rsidRDefault="00BE6F21" w:rsidP="002677E2">
            <w:pPr>
              <w:tabs>
                <w:tab w:val="left" w:pos="3091"/>
              </w:tabs>
              <w:jc w:val="left"/>
              <w:rPr>
                <w:b/>
                <w:sz w:val="20"/>
                <w:szCs w:val="20"/>
              </w:rPr>
            </w:pPr>
            <w:r w:rsidRPr="00D65BD6">
              <w:rPr>
                <w:b/>
                <w:sz w:val="20"/>
                <w:szCs w:val="20"/>
              </w:rPr>
              <w:lastRenderedPageBreak/>
              <w:t>Kárérték szint/Kárfajta</w:t>
            </w:r>
          </w:p>
        </w:tc>
        <w:tc>
          <w:tcPr>
            <w:tcW w:w="2069"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4EEA914F" w14:textId="77777777" w:rsidR="00BE6F21" w:rsidRPr="00D65BD6" w:rsidRDefault="00BE6F21" w:rsidP="00C67884">
            <w:pPr>
              <w:tabs>
                <w:tab w:val="left" w:pos="3091"/>
              </w:tabs>
              <w:rPr>
                <w:b/>
                <w:sz w:val="20"/>
                <w:szCs w:val="20"/>
              </w:rPr>
            </w:pPr>
            <w:r w:rsidRPr="00D65BD6">
              <w:rPr>
                <w:b/>
                <w:sz w:val="20"/>
                <w:szCs w:val="20"/>
              </w:rPr>
              <w:t>Közvetlen anyagi kár</w:t>
            </w:r>
          </w:p>
        </w:tc>
        <w:tc>
          <w:tcPr>
            <w:tcW w:w="2409"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6D8F5E87" w14:textId="77777777" w:rsidR="00BE6F21" w:rsidRPr="00D65BD6" w:rsidRDefault="00BE6F21" w:rsidP="00C67884">
            <w:pPr>
              <w:tabs>
                <w:tab w:val="left" w:pos="3091"/>
              </w:tabs>
              <w:rPr>
                <w:b/>
                <w:sz w:val="20"/>
                <w:szCs w:val="20"/>
              </w:rPr>
            </w:pPr>
            <w:r w:rsidRPr="00D65BD6">
              <w:rPr>
                <w:b/>
                <w:sz w:val="20"/>
                <w:szCs w:val="20"/>
              </w:rPr>
              <w:t>Társadalmi-politikai hatás</w:t>
            </w:r>
          </w:p>
        </w:tc>
        <w:tc>
          <w:tcPr>
            <w:tcW w:w="2835" w:type="dxa"/>
            <w:tcBorders>
              <w:top w:val="single" w:sz="6" w:space="0" w:color="8CACBB"/>
              <w:left w:val="single" w:sz="6" w:space="0" w:color="8CACBB"/>
              <w:bottom w:val="single" w:sz="6" w:space="0" w:color="8CACBB"/>
              <w:right w:val="single" w:sz="6" w:space="0" w:color="8CACBB"/>
            </w:tcBorders>
            <w:shd w:val="clear" w:color="auto" w:fill="D5DCE4" w:themeFill="text2" w:themeFillTint="33"/>
            <w:tcMar>
              <w:top w:w="45" w:type="dxa"/>
              <w:left w:w="45" w:type="dxa"/>
              <w:bottom w:w="45" w:type="dxa"/>
              <w:right w:w="45" w:type="dxa"/>
            </w:tcMar>
            <w:vAlign w:val="bottom"/>
            <w:hideMark/>
          </w:tcPr>
          <w:p w14:paraId="302A6298" w14:textId="4AD7F1DD" w:rsidR="00BE6F21" w:rsidRPr="00D65BD6" w:rsidRDefault="00BE6F21" w:rsidP="00C67884">
            <w:pPr>
              <w:tabs>
                <w:tab w:val="left" w:pos="3091"/>
              </w:tabs>
              <w:jc w:val="center"/>
              <w:rPr>
                <w:b/>
                <w:bCs/>
                <w:sz w:val="20"/>
                <w:szCs w:val="20"/>
              </w:rPr>
            </w:pPr>
            <w:r>
              <w:rPr>
                <w:b/>
                <w:bCs/>
                <w:sz w:val="20"/>
                <w:szCs w:val="20"/>
              </w:rPr>
              <w:t>Rendelkezésre állás</w:t>
            </w:r>
          </w:p>
        </w:tc>
      </w:tr>
      <w:tr w:rsidR="00BE6F21" w:rsidRPr="00D65BD6" w14:paraId="26699BD7" w14:textId="77777777" w:rsidTr="00BE6F21">
        <w:tc>
          <w:tcPr>
            <w:tcW w:w="1184"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278B675F" w14:textId="77777777" w:rsidR="00BE6F21" w:rsidRPr="00D65BD6" w:rsidRDefault="00BE6F21" w:rsidP="002677E2">
            <w:pPr>
              <w:tabs>
                <w:tab w:val="left" w:pos="3091"/>
              </w:tabs>
              <w:jc w:val="left"/>
              <w:rPr>
                <w:b/>
                <w:sz w:val="20"/>
                <w:szCs w:val="20"/>
              </w:rPr>
            </w:pPr>
            <w:r w:rsidRPr="00D65BD6">
              <w:rPr>
                <w:b/>
                <w:sz w:val="20"/>
                <w:szCs w:val="20"/>
              </w:rPr>
              <w:t>1. jelentéktelen kár</w:t>
            </w:r>
          </w:p>
        </w:tc>
        <w:tc>
          <w:tcPr>
            <w:tcW w:w="206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2A09810D" w14:textId="77777777" w:rsidR="00BE6F21" w:rsidRPr="00D65BD6" w:rsidRDefault="00BE6F21" w:rsidP="00BE6F21">
            <w:pPr>
              <w:tabs>
                <w:tab w:val="left" w:pos="3091"/>
              </w:tabs>
              <w:jc w:val="left"/>
              <w:rPr>
                <w:sz w:val="20"/>
                <w:szCs w:val="20"/>
              </w:rPr>
            </w:pPr>
            <w:r w:rsidRPr="00D65BD6">
              <w:rPr>
                <w:sz w:val="20"/>
                <w:szCs w:val="20"/>
              </w:rPr>
              <w:t>Az érintett szervezet költésvetéséhez képest jelentéktelen</w:t>
            </w:r>
            <w:r w:rsidRPr="00D65BD6">
              <w:br/>
            </w:r>
          </w:p>
        </w:tc>
        <w:tc>
          <w:tcPr>
            <w:tcW w:w="240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72DEC1B2" w14:textId="05BABE61" w:rsidR="00BE6F21" w:rsidRPr="00D65BD6" w:rsidRDefault="00207D0E" w:rsidP="00BE6F21">
            <w:pPr>
              <w:tabs>
                <w:tab w:val="left" w:pos="3091"/>
              </w:tabs>
              <w:jc w:val="left"/>
              <w:rPr>
                <w:sz w:val="20"/>
                <w:szCs w:val="20"/>
              </w:rPr>
            </w:pPr>
            <w:r w:rsidRPr="00D65BD6">
              <w:rPr>
                <w:rFonts w:ascii="Calibri Light" w:eastAsia="Calibri Light" w:hAnsi="Calibri Light" w:cs="Calibri Light"/>
                <w:sz w:val="20"/>
                <w:szCs w:val="20"/>
              </w:rPr>
              <w:t>A probléma a szervezeten belül marad és meg is oldható</w:t>
            </w:r>
          </w:p>
        </w:tc>
        <w:tc>
          <w:tcPr>
            <w:tcW w:w="28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66B9C1B2" w14:textId="2E680E17" w:rsidR="00BE6F21" w:rsidRPr="00D65BD6" w:rsidRDefault="00486377" w:rsidP="00BE6F21">
            <w:pPr>
              <w:tabs>
                <w:tab w:val="left" w:pos="3091"/>
              </w:tabs>
              <w:jc w:val="left"/>
              <w:rPr>
                <w:sz w:val="20"/>
                <w:szCs w:val="20"/>
              </w:rPr>
            </w:pPr>
            <w:r w:rsidRPr="00D65BD6">
              <w:rPr>
                <w:rFonts w:ascii="Calibri Light" w:eastAsia="Calibri Light" w:hAnsi="Calibri Light" w:cs="Calibri Light"/>
                <w:sz w:val="20"/>
                <w:szCs w:val="20"/>
              </w:rPr>
              <w:t xml:space="preserve">Az érintett szervezet </w:t>
            </w:r>
            <w:r>
              <w:rPr>
                <w:rFonts w:ascii="Calibri Light" w:eastAsia="Calibri Light" w:hAnsi="Calibri Light" w:cs="Calibri Light"/>
                <w:sz w:val="20"/>
                <w:szCs w:val="20"/>
              </w:rPr>
              <w:t>működése szempontjából</w:t>
            </w:r>
            <w:r w:rsidRPr="00D65BD6">
              <w:rPr>
                <w:rFonts w:ascii="Calibri Light" w:eastAsia="Calibri Light" w:hAnsi="Calibri Light" w:cs="Calibri Light"/>
                <w:sz w:val="20"/>
                <w:szCs w:val="20"/>
              </w:rPr>
              <w:t xml:space="preserve"> jelentéktelen</w:t>
            </w:r>
            <w:r>
              <w:rPr>
                <w:rFonts w:ascii="Calibri Light" w:eastAsia="Calibri Light" w:hAnsi="Calibri Light" w:cs="Calibri Light"/>
                <w:sz w:val="20"/>
                <w:szCs w:val="20"/>
              </w:rPr>
              <w:t xml:space="preserve"> adat vagy </w:t>
            </w:r>
            <w:r w:rsidR="00207D0E">
              <w:rPr>
                <w:rFonts w:ascii="Calibri Light" w:eastAsia="Calibri Light" w:hAnsi="Calibri Light" w:cs="Calibri Light"/>
                <w:sz w:val="20"/>
                <w:szCs w:val="20"/>
              </w:rPr>
              <w:t>EIR</w:t>
            </w:r>
            <w:r>
              <w:rPr>
                <w:rFonts w:ascii="Calibri Light" w:eastAsia="Calibri Light" w:hAnsi="Calibri Light" w:cs="Calibri Light"/>
                <w:sz w:val="20"/>
                <w:szCs w:val="20"/>
              </w:rPr>
              <w:t xml:space="preserve"> rendelkezésre állása nem biztosított.</w:t>
            </w:r>
          </w:p>
        </w:tc>
      </w:tr>
      <w:tr w:rsidR="00BE6F21" w:rsidRPr="00D65BD6" w14:paraId="5F0FAE45" w14:textId="77777777" w:rsidTr="00BE6F21">
        <w:tc>
          <w:tcPr>
            <w:tcW w:w="1184"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3C8C4AC4" w14:textId="77777777" w:rsidR="00BE6F21" w:rsidRPr="00D65BD6" w:rsidRDefault="00BE6F21" w:rsidP="002677E2">
            <w:pPr>
              <w:tabs>
                <w:tab w:val="left" w:pos="3091"/>
              </w:tabs>
              <w:jc w:val="left"/>
              <w:rPr>
                <w:b/>
                <w:sz w:val="20"/>
                <w:szCs w:val="20"/>
              </w:rPr>
            </w:pPr>
            <w:r w:rsidRPr="00D65BD6">
              <w:rPr>
                <w:b/>
                <w:sz w:val="20"/>
                <w:szCs w:val="20"/>
              </w:rPr>
              <w:t>2. csekély kár</w:t>
            </w:r>
          </w:p>
        </w:tc>
        <w:tc>
          <w:tcPr>
            <w:tcW w:w="206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273AACEB" w14:textId="311EAB31" w:rsidR="00BE6F21" w:rsidRPr="00D65BD6" w:rsidRDefault="00BE6F21" w:rsidP="00BE6F21">
            <w:pPr>
              <w:jc w:val="left"/>
              <w:rPr>
                <w:rFonts w:ascii="Calibri Light" w:eastAsia="Calibri Light" w:hAnsi="Calibri Light" w:cs="Calibri Light"/>
                <w:sz w:val="20"/>
                <w:szCs w:val="20"/>
              </w:rPr>
            </w:pPr>
            <w:r w:rsidRPr="00D65BD6">
              <w:rPr>
                <w:rFonts w:ascii="Calibri Light" w:eastAsia="Calibri Light" w:hAnsi="Calibri Light" w:cs="Calibri Light"/>
                <w:sz w:val="20"/>
                <w:szCs w:val="20"/>
              </w:rPr>
              <w:t>Eléri a szervezet költségvetésének 1%-át</w:t>
            </w:r>
          </w:p>
        </w:tc>
        <w:tc>
          <w:tcPr>
            <w:tcW w:w="240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0D55425E" w14:textId="77777777" w:rsidR="00BE6F21" w:rsidRPr="00D65BD6" w:rsidRDefault="00BE6F21" w:rsidP="00BE6F21">
            <w:pPr>
              <w:jc w:val="left"/>
              <w:rPr>
                <w:rFonts w:ascii="Calibri Light" w:eastAsia="Calibri Light" w:hAnsi="Calibri Light" w:cs="Calibri Light"/>
                <w:sz w:val="20"/>
                <w:szCs w:val="20"/>
              </w:rPr>
            </w:pPr>
            <w:r w:rsidRPr="00D65BD6">
              <w:rPr>
                <w:rFonts w:ascii="Calibri Light" w:eastAsia="Calibri Light" w:hAnsi="Calibri Light" w:cs="Calibri Light"/>
                <w:sz w:val="20"/>
                <w:szCs w:val="20"/>
              </w:rPr>
              <w:t>A társadalmi hatás az</w:t>
            </w:r>
            <w:r w:rsidRPr="00D65BD6">
              <w:rPr>
                <w:rFonts w:ascii="Calibri" w:eastAsia="Calibri" w:hAnsi="Calibri" w:cs="Calibri"/>
                <w:sz w:val="20"/>
                <w:szCs w:val="20"/>
              </w:rPr>
              <w:t xml:space="preserve"> érintett</w:t>
            </w:r>
            <w:r w:rsidRPr="00D65BD6">
              <w:rPr>
                <w:rFonts w:ascii="Calibri Light" w:eastAsia="Calibri Light" w:hAnsi="Calibri Light" w:cs="Calibri Light"/>
                <w:sz w:val="20"/>
                <w:szCs w:val="20"/>
              </w:rPr>
              <w:t xml:space="preserve"> szervezeten belül kezelhető</w:t>
            </w:r>
          </w:p>
        </w:tc>
        <w:tc>
          <w:tcPr>
            <w:tcW w:w="28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1ADFB564" w14:textId="68F15F0C" w:rsidR="00BE6F21" w:rsidRPr="00B64820" w:rsidRDefault="00B64820" w:rsidP="00BE6F21">
            <w:pPr>
              <w:tabs>
                <w:tab w:val="left" w:pos="3091"/>
              </w:tabs>
              <w:jc w:val="left"/>
              <w:rPr>
                <w:sz w:val="20"/>
                <w:szCs w:val="20"/>
                <w:lang w:val="en-GB"/>
              </w:rPr>
            </w:pPr>
            <w:r w:rsidRPr="00D65BD6">
              <w:rPr>
                <w:sz w:val="20"/>
                <w:szCs w:val="20"/>
              </w:rPr>
              <w:t xml:space="preserve">Az üzlet vagy ügymenet szempontjából csekély értékű, és/vagy csak </w:t>
            </w:r>
            <w:proofErr w:type="gramStart"/>
            <w:r w:rsidRPr="00D65BD6">
              <w:rPr>
                <w:sz w:val="20"/>
                <w:szCs w:val="20"/>
              </w:rPr>
              <w:t>belső szabályzóval védett adat</w:t>
            </w:r>
            <w:proofErr w:type="gramEnd"/>
            <w:r w:rsidRPr="00D65BD6">
              <w:rPr>
                <w:sz w:val="20"/>
                <w:szCs w:val="20"/>
              </w:rPr>
              <w:t xml:space="preserve"> vagy </w:t>
            </w:r>
            <w:r w:rsidR="00207D0E">
              <w:rPr>
                <w:sz w:val="20"/>
                <w:szCs w:val="20"/>
              </w:rPr>
              <w:t>EIR</w:t>
            </w:r>
            <w:r>
              <w:rPr>
                <w:sz w:val="20"/>
                <w:szCs w:val="20"/>
              </w:rPr>
              <w:t xml:space="preserve"> rendelkezésre állása nem biztosított.</w:t>
            </w:r>
          </w:p>
        </w:tc>
      </w:tr>
      <w:tr w:rsidR="00BE6F21" w:rsidRPr="00D65BD6" w14:paraId="4479A8EF" w14:textId="77777777" w:rsidTr="00BE6F21">
        <w:tc>
          <w:tcPr>
            <w:tcW w:w="1184"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779D8732" w14:textId="77777777" w:rsidR="00BE6F21" w:rsidRPr="00D65BD6" w:rsidRDefault="00BE6F21" w:rsidP="002677E2">
            <w:pPr>
              <w:tabs>
                <w:tab w:val="left" w:pos="3091"/>
              </w:tabs>
              <w:jc w:val="left"/>
              <w:rPr>
                <w:b/>
                <w:sz w:val="20"/>
                <w:szCs w:val="20"/>
              </w:rPr>
            </w:pPr>
            <w:r w:rsidRPr="00D65BD6">
              <w:rPr>
                <w:b/>
                <w:sz w:val="20"/>
                <w:szCs w:val="20"/>
              </w:rPr>
              <w:t>3. közepes kár</w:t>
            </w:r>
          </w:p>
        </w:tc>
        <w:tc>
          <w:tcPr>
            <w:tcW w:w="206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71588C36" w14:textId="77777777" w:rsidR="00BE6F21" w:rsidRPr="00D65BD6" w:rsidRDefault="00BE6F21" w:rsidP="00BE6F21">
            <w:pPr>
              <w:jc w:val="left"/>
              <w:rPr>
                <w:rFonts w:ascii="Calibri Light" w:eastAsia="Calibri Light" w:hAnsi="Calibri Light" w:cs="Calibri Light"/>
                <w:sz w:val="20"/>
                <w:szCs w:val="20"/>
              </w:rPr>
            </w:pPr>
            <w:r w:rsidRPr="00D65BD6">
              <w:rPr>
                <w:rFonts w:ascii="Calibri Light" w:eastAsia="Calibri Light" w:hAnsi="Calibri Light" w:cs="Calibri Light"/>
                <w:sz w:val="20"/>
                <w:szCs w:val="20"/>
              </w:rPr>
              <w:t>Eléri a szervezet költségvetésének 5%-át</w:t>
            </w:r>
          </w:p>
        </w:tc>
        <w:tc>
          <w:tcPr>
            <w:tcW w:w="240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635B6578" w14:textId="77777777" w:rsidR="00BE6F21" w:rsidRPr="00D65BD6" w:rsidRDefault="00BE6F21" w:rsidP="00BE6F21">
            <w:pPr>
              <w:jc w:val="left"/>
              <w:rPr>
                <w:rFonts w:ascii="Calibri Light" w:eastAsia="Calibri Light" w:hAnsi="Calibri Light" w:cs="Calibri Light"/>
                <w:sz w:val="20"/>
                <w:szCs w:val="20"/>
              </w:rPr>
            </w:pPr>
            <w:r w:rsidRPr="00D65BD6">
              <w:rPr>
                <w:rFonts w:ascii="Calibri Light" w:eastAsia="Calibri Light" w:hAnsi="Calibri Light" w:cs="Calibri Light"/>
                <w:sz w:val="20"/>
                <w:szCs w:val="20"/>
              </w:rPr>
              <w:t>Bizalomvesztés a szervezeten belül, vagy szervezeti szabályokban foglalt kötelezettség sérülhet</w:t>
            </w:r>
            <w:r w:rsidRPr="00D65BD6">
              <w:br/>
            </w:r>
          </w:p>
        </w:tc>
        <w:tc>
          <w:tcPr>
            <w:tcW w:w="28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44508BFA" w14:textId="0ED82F45" w:rsidR="00BE6F21" w:rsidRPr="00D65BD6" w:rsidRDefault="00B64820" w:rsidP="00BE6F21">
            <w:pPr>
              <w:tabs>
                <w:tab w:val="left" w:pos="3091"/>
              </w:tabs>
              <w:jc w:val="left"/>
              <w:rPr>
                <w:sz w:val="20"/>
                <w:szCs w:val="20"/>
              </w:rPr>
            </w:pPr>
            <w:r w:rsidRPr="00D65BD6">
              <w:rPr>
                <w:sz w:val="20"/>
                <w:szCs w:val="20"/>
              </w:rPr>
              <w:t xml:space="preserve">Az üzlet- vagy ügymenet szempontjából érzékeny folyamatokat kezelő </w:t>
            </w:r>
            <w:r w:rsidR="00207D0E">
              <w:rPr>
                <w:sz w:val="20"/>
                <w:szCs w:val="20"/>
              </w:rPr>
              <w:t>EIR</w:t>
            </w:r>
            <w:r w:rsidRPr="00D65BD6">
              <w:rPr>
                <w:sz w:val="20"/>
                <w:szCs w:val="20"/>
              </w:rPr>
              <w:t>, információt képező adat vagy egyéb jogszabállyal védett adat</w:t>
            </w:r>
            <w:r>
              <w:rPr>
                <w:sz w:val="20"/>
                <w:szCs w:val="20"/>
              </w:rPr>
              <w:t xml:space="preserve"> rendelkezésre állása nem biztosított.</w:t>
            </w:r>
          </w:p>
        </w:tc>
      </w:tr>
      <w:tr w:rsidR="00BE6F21" w:rsidRPr="00D65BD6" w14:paraId="510865B0" w14:textId="77777777" w:rsidTr="00BE6F21">
        <w:tc>
          <w:tcPr>
            <w:tcW w:w="1184"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0A52C2C7" w14:textId="77777777" w:rsidR="00BE6F21" w:rsidRPr="00D65BD6" w:rsidRDefault="00BE6F21" w:rsidP="002677E2">
            <w:pPr>
              <w:tabs>
                <w:tab w:val="left" w:pos="3091"/>
              </w:tabs>
              <w:jc w:val="left"/>
              <w:rPr>
                <w:b/>
                <w:sz w:val="20"/>
                <w:szCs w:val="20"/>
              </w:rPr>
            </w:pPr>
            <w:r w:rsidRPr="00D65BD6">
              <w:rPr>
                <w:b/>
                <w:sz w:val="20"/>
                <w:szCs w:val="20"/>
              </w:rPr>
              <w:t>4. nagy kár</w:t>
            </w:r>
          </w:p>
        </w:tc>
        <w:tc>
          <w:tcPr>
            <w:tcW w:w="206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2406F9A0" w14:textId="77777777" w:rsidR="00BE6F21" w:rsidRPr="00D65BD6" w:rsidRDefault="00BE6F21" w:rsidP="00BE6F21">
            <w:pPr>
              <w:jc w:val="left"/>
              <w:rPr>
                <w:rFonts w:ascii="Calibri Light" w:eastAsia="Calibri Light" w:hAnsi="Calibri Light" w:cs="Calibri Light"/>
                <w:sz w:val="20"/>
                <w:szCs w:val="20"/>
              </w:rPr>
            </w:pPr>
            <w:r w:rsidRPr="00D65BD6">
              <w:rPr>
                <w:rFonts w:ascii="Calibri Light" w:eastAsia="Calibri Light" w:hAnsi="Calibri Light" w:cs="Calibri Light"/>
                <w:sz w:val="20"/>
                <w:szCs w:val="20"/>
              </w:rPr>
              <w:t>Eléri a szervezet költségvetésének 10%-át</w:t>
            </w:r>
          </w:p>
          <w:p w14:paraId="3AA344D8" w14:textId="77777777" w:rsidR="00BE6F21" w:rsidRPr="00D65BD6" w:rsidRDefault="00BE6F21" w:rsidP="00BE6F21">
            <w:pPr>
              <w:jc w:val="left"/>
              <w:rPr>
                <w:rFonts w:ascii="Calibri Light" w:eastAsia="Calibri Light" w:hAnsi="Calibri Light" w:cs="Calibri Light"/>
                <w:sz w:val="20"/>
                <w:szCs w:val="20"/>
              </w:rPr>
            </w:pPr>
          </w:p>
        </w:tc>
        <w:tc>
          <w:tcPr>
            <w:tcW w:w="240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7F0F71D1" w14:textId="77777777" w:rsidR="00BE6F21" w:rsidRPr="00D65BD6" w:rsidRDefault="00BE6F21" w:rsidP="00BE6F21">
            <w:pPr>
              <w:jc w:val="left"/>
              <w:rPr>
                <w:rFonts w:ascii="Calibri Light" w:eastAsia="Calibri Light" w:hAnsi="Calibri Light" w:cs="Calibri Light"/>
                <w:sz w:val="20"/>
                <w:szCs w:val="20"/>
              </w:rPr>
            </w:pPr>
            <w:r w:rsidRPr="00D65BD6">
              <w:rPr>
                <w:rFonts w:ascii="Calibri Light" w:eastAsia="Calibri Light" w:hAnsi="Calibri Light" w:cs="Calibri Light"/>
                <w:sz w:val="20"/>
                <w:szCs w:val="20"/>
              </w:rPr>
              <w:t>Jogszabályok betartása vagy végrehajtása elmaradhat, bizalomvesztés a szervezeten belül, a felső vezetésben vagy vezetésben személyi felelősségre vonást kell alkalmazni.</w:t>
            </w:r>
          </w:p>
        </w:tc>
        <w:tc>
          <w:tcPr>
            <w:tcW w:w="28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0E8E6547" w14:textId="344C0E10" w:rsidR="00BE6F21" w:rsidRPr="00D65BD6" w:rsidRDefault="00B64820" w:rsidP="00BE6F21">
            <w:pPr>
              <w:tabs>
                <w:tab w:val="left" w:pos="3091"/>
              </w:tabs>
              <w:jc w:val="left"/>
              <w:rPr>
                <w:sz w:val="20"/>
                <w:szCs w:val="20"/>
              </w:rPr>
            </w:pPr>
            <w:r w:rsidRPr="00D65BD6">
              <w:rPr>
                <w:sz w:val="20"/>
                <w:szCs w:val="20"/>
              </w:rPr>
              <w:t xml:space="preserve">Az üzlet- vagy ügymenet szempontjából nagy értékű üzleti </w:t>
            </w:r>
            <w:r>
              <w:rPr>
                <w:sz w:val="20"/>
                <w:szCs w:val="20"/>
              </w:rPr>
              <w:t xml:space="preserve">adat vagy </w:t>
            </w:r>
            <w:r w:rsidR="00207D0E">
              <w:rPr>
                <w:sz w:val="20"/>
                <w:szCs w:val="20"/>
              </w:rPr>
              <w:t>EIR</w:t>
            </w:r>
            <w:r>
              <w:rPr>
                <w:sz w:val="20"/>
                <w:szCs w:val="20"/>
              </w:rPr>
              <w:t xml:space="preserve"> rendelkezésre állása nem biztosított.</w:t>
            </w:r>
          </w:p>
        </w:tc>
      </w:tr>
      <w:tr w:rsidR="00BE6F21" w:rsidRPr="00D65BD6" w14:paraId="44DBC8B8" w14:textId="77777777" w:rsidTr="00BE6F21">
        <w:tc>
          <w:tcPr>
            <w:tcW w:w="1184"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hideMark/>
          </w:tcPr>
          <w:p w14:paraId="4A31F9C3" w14:textId="77777777" w:rsidR="00BE6F21" w:rsidRPr="00D65BD6" w:rsidRDefault="00BE6F21" w:rsidP="002677E2">
            <w:pPr>
              <w:tabs>
                <w:tab w:val="left" w:pos="3091"/>
              </w:tabs>
              <w:jc w:val="left"/>
              <w:rPr>
                <w:b/>
                <w:sz w:val="20"/>
                <w:szCs w:val="20"/>
              </w:rPr>
            </w:pPr>
            <w:r w:rsidRPr="00D65BD6">
              <w:rPr>
                <w:b/>
                <w:sz w:val="20"/>
                <w:szCs w:val="20"/>
              </w:rPr>
              <w:t>5. nagyon nagy kár</w:t>
            </w:r>
          </w:p>
        </w:tc>
        <w:tc>
          <w:tcPr>
            <w:tcW w:w="206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7A478C19" w14:textId="77777777" w:rsidR="00BE6F21" w:rsidRPr="00D65BD6" w:rsidRDefault="00BE6F21" w:rsidP="00BE6F21">
            <w:pPr>
              <w:jc w:val="left"/>
              <w:rPr>
                <w:rFonts w:ascii="Calibri Light" w:eastAsia="Calibri Light" w:hAnsi="Calibri Light" w:cs="Calibri Light"/>
                <w:sz w:val="20"/>
                <w:szCs w:val="20"/>
              </w:rPr>
            </w:pPr>
            <w:r w:rsidRPr="00D65BD6">
              <w:rPr>
                <w:rFonts w:ascii="Calibri Light" w:eastAsia="Calibri Light" w:hAnsi="Calibri Light" w:cs="Calibri Light"/>
                <w:sz w:val="20"/>
                <w:szCs w:val="20"/>
              </w:rPr>
              <w:t>Eléri a szervezet költségvetésének 15%-át</w:t>
            </w:r>
          </w:p>
        </w:tc>
        <w:tc>
          <w:tcPr>
            <w:tcW w:w="240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3235F21E" w14:textId="77777777" w:rsidR="00BE6F21" w:rsidRPr="00D65BD6" w:rsidRDefault="00BE6F21" w:rsidP="00BE6F21">
            <w:pPr>
              <w:jc w:val="left"/>
              <w:rPr>
                <w:rFonts w:ascii="Calibri Light" w:eastAsia="Calibri Light" w:hAnsi="Calibri Light" w:cs="Calibri Light"/>
                <w:sz w:val="20"/>
                <w:szCs w:val="20"/>
              </w:rPr>
            </w:pPr>
            <w:r w:rsidRPr="00D65BD6">
              <w:rPr>
                <w:rFonts w:ascii="Calibri Light" w:eastAsia="Calibri Light" w:hAnsi="Calibri Light" w:cs="Calibri Light"/>
                <w:sz w:val="20"/>
                <w:szCs w:val="20"/>
              </w:rPr>
              <w:t>Súlyos bizalomvesztés a szervezettel szemben, alapvető emberi vagy társadalom működése szempontjából kiemelt jogok sérülhetnek.</w:t>
            </w:r>
          </w:p>
          <w:p w14:paraId="5A962DD5" w14:textId="64C44205" w:rsidR="00BE6F21" w:rsidRPr="00D65BD6" w:rsidRDefault="00BE6F21" w:rsidP="00BE6F21">
            <w:pPr>
              <w:jc w:val="left"/>
              <w:rPr>
                <w:rFonts w:ascii="Calibri Light" w:eastAsia="Calibri Light" w:hAnsi="Calibri Light" w:cs="Calibri Light"/>
                <w:sz w:val="20"/>
                <w:szCs w:val="20"/>
              </w:rPr>
            </w:pPr>
            <w:r w:rsidRPr="00D65BD6">
              <w:rPr>
                <w:rFonts w:ascii="Calibri Light" w:eastAsia="Calibri Light" w:hAnsi="Calibri Light" w:cs="Calibri Light"/>
                <w:sz w:val="20"/>
                <w:szCs w:val="20"/>
              </w:rPr>
              <w:t xml:space="preserve">Az ország, a társadalom működőképességének fenntartását biztosító </w:t>
            </w:r>
            <w:r w:rsidR="00207D0E">
              <w:rPr>
                <w:rFonts w:ascii="Calibri Light" w:eastAsia="Calibri Light" w:hAnsi="Calibri Light" w:cs="Calibri Light"/>
                <w:sz w:val="20"/>
                <w:szCs w:val="20"/>
              </w:rPr>
              <w:t>EIR</w:t>
            </w:r>
            <w:r w:rsidRPr="00D65BD6">
              <w:rPr>
                <w:rFonts w:ascii="Calibri Light" w:eastAsia="Calibri Light" w:hAnsi="Calibri Light" w:cs="Calibri Light"/>
                <w:sz w:val="20"/>
                <w:szCs w:val="20"/>
              </w:rPr>
              <w:t xml:space="preserve"> rendelkezésre állása nem biztosított.</w:t>
            </w:r>
          </w:p>
        </w:tc>
        <w:tc>
          <w:tcPr>
            <w:tcW w:w="28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hideMark/>
          </w:tcPr>
          <w:p w14:paraId="4E69226A" w14:textId="58259B39" w:rsidR="00BE6F21" w:rsidRPr="00D65BD6" w:rsidRDefault="00BE6F21" w:rsidP="00BE6F21">
            <w:pPr>
              <w:tabs>
                <w:tab w:val="left" w:pos="3091"/>
              </w:tabs>
              <w:jc w:val="left"/>
              <w:rPr>
                <w:sz w:val="20"/>
                <w:szCs w:val="20"/>
              </w:rPr>
            </w:pPr>
            <w:r w:rsidRPr="00D65BD6">
              <w:rPr>
                <w:sz w:val="20"/>
                <w:szCs w:val="20"/>
              </w:rPr>
              <w:t xml:space="preserve">Az ország, a társadalom működőképességének fenntartását biztosító létfontosságú </w:t>
            </w:r>
            <w:r w:rsidR="00207D0E">
              <w:rPr>
                <w:sz w:val="20"/>
                <w:szCs w:val="20"/>
              </w:rPr>
              <w:t>EIR</w:t>
            </w:r>
            <w:r w:rsidRPr="00D65BD6">
              <w:rPr>
                <w:sz w:val="20"/>
                <w:szCs w:val="20"/>
              </w:rPr>
              <w:t xml:space="preserve"> rendelkezésre állása nem biztosított;</w:t>
            </w:r>
          </w:p>
        </w:tc>
      </w:tr>
    </w:tbl>
    <w:p w14:paraId="3EB01E0D" w14:textId="620BD1E4" w:rsidR="00F0302D" w:rsidRPr="00D65BD6" w:rsidRDefault="00F0302D" w:rsidP="00F0302D"/>
    <w:p w14:paraId="1AA8F050" w14:textId="3D784ABD" w:rsidR="004A5B3D" w:rsidRPr="00D65BD6" w:rsidRDefault="004A5B3D" w:rsidP="004A5B3D">
      <w:r w:rsidRPr="00D65BD6">
        <w:t xml:space="preserve">A következő lépésként - az előbbiekben felállított kárérték táblázatok felhasználásával - meg kell ítélnie az adatgazdának, hogy mekkora kár éri a szervezetet, hogy ha az </w:t>
      </w:r>
      <w:r w:rsidR="00A85B1D">
        <w:t>EIR</w:t>
      </w:r>
      <w:r w:rsidRPr="00D65BD6">
        <w:t xml:space="preserve"> sértetlensége, rendelkezésre állása vagy az </w:t>
      </w:r>
      <w:r w:rsidR="00A85B1D">
        <w:t>EIR-</w:t>
      </w:r>
      <w:r w:rsidRPr="00D65BD6">
        <w:t>ben kezelt adat bizalmassága, sértetlensége vagy rendelkezésre állása sérül.</w:t>
      </w:r>
    </w:p>
    <w:p w14:paraId="5E17DF0A" w14:textId="398A93F2" w:rsidR="004A5B3D" w:rsidRPr="00D65BD6" w:rsidRDefault="004A5B3D" w:rsidP="004A5B3D">
      <w:r w:rsidRPr="00D65BD6">
        <w:lastRenderedPageBreak/>
        <w:t>A táblázatunkat kiegészítettük három oszloppal (B</w:t>
      </w:r>
      <w:r w:rsidR="000C63A0">
        <w:t>- bizalmasság</w:t>
      </w:r>
      <w:r w:rsidRPr="00D65BD6">
        <w:t>, S</w:t>
      </w:r>
      <w:r w:rsidR="000C63A0">
        <w:t>-sértetlenség</w:t>
      </w:r>
      <w:r w:rsidRPr="00D65BD6">
        <w:t>, R</w:t>
      </w:r>
      <w:r w:rsidR="000C63A0">
        <w:t>- rendelkezésre állás</w:t>
      </w:r>
      <w:r w:rsidRPr="00D65BD6">
        <w:t>), melyek a bizalmasság, sértetlenség és a rendelkezésre állás becsült kárérték szintjeit tartalmazzák.</w:t>
      </w:r>
    </w:p>
    <w:tbl>
      <w:tblPr>
        <w:tblW w:w="8991" w:type="dxa"/>
        <w:tblLook w:val="04A0" w:firstRow="1" w:lastRow="0" w:firstColumn="1" w:lastColumn="0" w:noHBand="0" w:noVBand="1"/>
      </w:tblPr>
      <w:tblGrid>
        <w:gridCol w:w="1537"/>
        <w:gridCol w:w="1155"/>
        <w:gridCol w:w="2035"/>
        <w:gridCol w:w="300"/>
        <w:gridCol w:w="345"/>
        <w:gridCol w:w="390"/>
        <w:gridCol w:w="3229"/>
      </w:tblGrid>
      <w:tr w:rsidR="00827725" w:rsidRPr="00D65BD6" w14:paraId="1F3B8E43" w14:textId="77777777" w:rsidTr="00C67884">
        <w:tc>
          <w:tcPr>
            <w:tcW w:w="1537"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54D46264" w14:textId="6E99B8AD" w:rsidR="004A5B3D" w:rsidRPr="00D65BD6" w:rsidRDefault="00827725" w:rsidP="00C67884">
            <w:pPr>
              <w:jc w:val="center"/>
              <w:rPr>
                <w:b/>
                <w:bCs/>
              </w:rPr>
            </w:pPr>
            <w:r>
              <w:rPr>
                <w:b/>
                <w:bCs/>
              </w:rPr>
              <w:t>Rendszer funkció</w:t>
            </w:r>
          </w:p>
        </w:tc>
        <w:tc>
          <w:tcPr>
            <w:tcW w:w="1155"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72CF7569" w14:textId="47B86612" w:rsidR="004A5B3D" w:rsidRPr="00D65BD6" w:rsidRDefault="00827725" w:rsidP="00C67884">
            <w:pPr>
              <w:jc w:val="center"/>
              <w:rPr>
                <w:b/>
                <w:bCs/>
              </w:rPr>
            </w:pPr>
            <w:r>
              <w:rPr>
                <w:b/>
                <w:bCs/>
              </w:rPr>
              <w:t xml:space="preserve">Támogatott </w:t>
            </w:r>
            <w:r w:rsidR="004A5B3D" w:rsidRPr="00D65BD6">
              <w:rPr>
                <w:b/>
                <w:bCs/>
              </w:rPr>
              <w:t>folyamat</w:t>
            </w:r>
          </w:p>
        </w:tc>
        <w:tc>
          <w:tcPr>
            <w:tcW w:w="2035"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1BD82A3E" w14:textId="08308EB1" w:rsidR="004A5B3D" w:rsidRPr="00D65BD6" w:rsidRDefault="004A5B3D" w:rsidP="00C67884">
            <w:pPr>
              <w:jc w:val="center"/>
              <w:rPr>
                <w:b/>
                <w:bCs/>
              </w:rPr>
            </w:pPr>
            <w:r w:rsidRPr="00D65BD6">
              <w:rPr>
                <w:b/>
                <w:bCs/>
              </w:rPr>
              <w:t xml:space="preserve">A rendszerben kezelt adatok </w:t>
            </w:r>
          </w:p>
        </w:tc>
        <w:tc>
          <w:tcPr>
            <w:tcW w:w="30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4ED951FB" w14:textId="77777777" w:rsidR="004A5B3D" w:rsidRPr="00D65BD6" w:rsidRDefault="004A5B3D" w:rsidP="00C67884">
            <w:pPr>
              <w:jc w:val="center"/>
              <w:rPr>
                <w:b/>
                <w:bCs/>
              </w:rPr>
            </w:pPr>
            <w:r w:rsidRPr="00D65BD6">
              <w:rPr>
                <w:b/>
                <w:bCs/>
              </w:rPr>
              <w:t>B</w:t>
            </w:r>
          </w:p>
        </w:tc>
        <w:tc>
          <w:tcPr>
            <w:tcW w:w="345"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022AF2A3" w14:textId="77777777" w:rsidR="004A5B3D" w:rsidRPr="00D65BD6" w:rsidRDefault="004A5B3D" w:rsidP="00C67884">
            <w:pPr>
              <w:jc w:val="center"/>
              <w:rPr>
                <w:b/>
                <w:bCs/>
              </w:rPr>
            </w:pPr>
            <w:r w:rsidRPr="00D65BD6">
              <w:rPr>
                <w:b/>
                <w:bCs/>
              </w:rPr>
              <w:t>S</w:t>
            </w:r>
          </w:p>
        </w:tc>
        <w:tc>
          <w:tcPr>
            <w:tcW w:w="39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44AB12A2" w14:textId="77777777" w:rsidR="004A5B3D" w:rsidRPr="00D65BD6" w:rsidRDefault="004A5B3D" w:rsidP="00C67884">
            <w:pPr>
              <w:jc w:val="center"/>
              <w:rPr>
                <w:b/>
                <w:bCs/>
              </w:rPr>
            </w:pPr>
            <w:r w:rsidRPr="00D65BD6">
              <w:rPr>
                <w:b/>
                <w:bCs/>
              </w:rPr>
              <w:t>R</w:t>
            </w:r>
          </w:p>
        </w:tc>
        <w:tc>
          <w:tcPr>
            <w:tcW w:w="3229" w:type="dxa"/>
            <w:tcBorders>
              <w:top w:val="single" w:sz="6" w:space="0" w:color="8CACBB"/>
              <w:left w:val="single" w:sz="6" w:space="0" w:color="8CACBB"/>
              <w:bottom w:val="single" w:sz="6" w:space="0" w:color="8CACBB"/>
              <w:right w:val="single" w:sz="6" w:space="0" w:color="8CACBB"/>
            </w:tcBorders>
            <w:shd w:val="clear" w:color="auto" w:fill="DEE7EC"/>
            <w:vAlign w:val="bottom"/>
          </w:tcPr>
          <w:p w14:paraId="71F6AC44" w14:textId="77777777" w:rsidR="004A5B3D" w:rsidRPr="00D65BD6" w:rsidRDefault="004A5B3D" w:rsidP="00C67884">
            <w:pPr>
              <w:jc w:val="center"/>
              <w:rPr>
                <w:b/>
                <w:bCs/>
              </w:rPr>
            </w:pPr>
            <w:r w:rsidRPr="00D65BD6">
              <w:rPr>
                <w:b/>
                <w:bCs/>
              </w:rPr>
              <w:t>Besorolás indoklása</w:t>
            </w:r>
          </w:p>
        </w:tc>
      </w:tr>
      <w:tr w:rsidR="00827725" w:rsidRPr="00D65BD6" w14:paraId="4FDB1021" w14:textId="77777777" w:rsidTr="00C67884">
        <w:tc>
          <w:tcPr>
            <w:tcW w:w="1537"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4ACD66FF" w14:textId="691B2C98" w:rsidR="004A5B3D" w:rsidRPr="00D65BD6" w:rsidRDefault="000C63A0" w:rsidP="00C67884">
            <w:r>
              <w:t>Funkció X</w:t>
            </w:r>
          </w:p>
        </w:tc>
        <w:tc>
          <w:tcPr>
            <w:tcW w:w="115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44F5297D" w14:textId="528AB8DB" w:rsidR="004A5B3D" w:rsidRPr="00D65BD6" w:rsidRDefault="000C63A0" w:rsidP="00C67884">
            <w:r>
              <w:t>Folyamat Y</w:t>
            </w:r>
          </w:p>
        </w:tc>
        <w:tc>
          <w:tcPr>
            <w:tcW w:w="203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0C458CFC" w14:textId="28FAAAF8" w:rsidR="004A5B3D" w:rsidRPr="00D65BD6" w:rsidRDefault="00827725" w:rsidP="00C67884">
            <w:r>
              <w:t>Adatkör1</w:t>
            </w:r>
          </w:p>
        </w:tc>
        <w:tc>
          <w:tcPr>
            <w:tcW w:w="30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633E5A97" w14:textId="337DB3E1" w:rsidR="004A5B3D" w:rsidRPr="00D65BD6" w:rsidRDefault="00827725" w:rsidP="00C67884">
            <w:pPr>
              <w:jc w:val="center"/>
              <w:rPr>
                <w:b/>
                <w:bCs/>
              </w:rPr>
            </w:pPr>
            <w:r>
              <w:rPr>
                <w:b/>
                <w:bCs/>
              </w:rPr>
              <w:t>2</w:t>
            </w:r>
          </w:p>
        </w:tc>
        <w:tc>
          <w:tcPr>
            <w:tcW w:w="34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6A2631CA" w14:textId="76A2CEA7" w:rsidR="004A5B3D" w:rsidRPr="00D65BD6" w:rsidRDefault="00827725" w:rsidP="00C67884">
            <w:pPr>
              <w:jc w:val="center"/>
              <w:rPr>
                <w:b/>
                <w:bCs/>
              </w:rPr>
            </w:pPr>
            <w:r>
              <w:rPr>
                <w:b/>
                <w:bCs/>
              </w:rPr>
              <w:t>2</w:t>
            </w:r>
          </w:p>
        </w:tc>
        <w:tc>
          <w:tcPr>
            <w:tcW w:w="39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5650F18A" w14:textId="5EDED6F3" w:rsidR="004A5B3D" w:rsidRPr="00D65BD6" w:rsidRDefault="00827725" w:rsidP="00C67884">
            <w:pPr>
              <w:jc w:val="center"/>
              <w:rPr>
                <w:b/>
                <w:bCs/>
              </w:rPr>
            </w:pPr>
            <w:r>
              <w:rPr>
                <w:b/>
                <w:bCs/>
              </w:rPr>
              <w:t>3</w:t>
            </w:r>
          </w:p>
        </w:tc>
        <w:tc>
          <w:tcPr>
            <w:tcW w:w="3229" w:type="dxa"/>
            <w:tcBorders>
              <w:top w:val="single" w:sz="6" w:space="0" w:color="8CACBB"/>
              <w:left w:val="single" w:sz="6" w:space="0" w:color="8CACBB"/>
              <w:bottom w:val="single" w:sz="6" w:space="0" w:color="8CACBB"/>
              <w:right w:val="single" w:sz="6" w:space="0" w:color="8CACBB"/>
            </w:tcBorders>
            <w:shd w:val="clear" w:color="auto" w:fill="FFFFFF" w:themeFill="background1"/>
            <w:vAlign w:val="center"/>
          </w:tcPr>
          <w:p w14:paraId="79ABD36E" w14:textId="0901BBF0" w:rsidR="004A5B3D" w:rsidRPr="00D65BD6" w:rsidRDefault="004A5B3D" w:rsidP="00C67884">
            <w:pPr>
              <w:rPr>
                <w:sz w:val="16"/>
                <w:szCs w:val="16"/>
              </w:rPr>
            </w:pPr>
          </w:p>
        </w:tc>
      </w:tr>
    </w:tbl>
    <w:p w14:paraId="7A7FFA0E" w14:textId="77777777" w:rsidR="004A5B3D" w:rsidRPr="00D65BD6" w:rsidRDefault="004A5B3D" w:rsidP="00F0302D"/>
    <w:p w14:paraId="1DE2E11D" w14:textId="4AD8025C" w:rsidR="008C5C54" w:rsidRPr="00D65BD6" w:rsidRDefault="00A85B1D" w:rsidP="00B2627E">
      <w:pPr>
        <w:pStyle w:val="Cmsor2"/>
      </w:pPr>
      <w:bookmarkStart w:id="15" w:name="_Toc128816724"/>
      <w:r>
        <w:t>EIR</w:t>
      </w:r>
      <w:r w:rsidRPr="00D65BD6">
        <w:t xml:space="preserve"> </w:t>
      </w:r>
      <w:r w:rsidR="00034714">
        <w:t xml:space="preserve">előzetes </w:t>
      </w:r>
      <w:r w:rsidR="00315587" w:rsidRPr="00D65BD6">
        <w:t>biztonsági osztályba sorolása</w:t>
      </w:r>
      <w:bookmarkEnd w:id="15"/>
    </w:p>
    <w:p w14:paraId="46B29923" w14:textId="77777777" w:rsidR="006F4627" w:rsidRPr="00D65BD6" w:rsidRDefault="006F4627" w:rsidP="006F4627">
      <w:pPr>
        <w:contextualSpacing/>
      </w:pPr>
    </w:p>
    <w:p w14:paraId="12399D62" w14:textId="77777777" w:rsidR="00F0302D" w:rsidRPr="00D65BD6" w:rsidRDefault="00F0302D" w:rsidP="00F0302D">
      <w:r w:rsidRPr="00D65BD6">
        <w:t>A kapott értékeket a maximum elv alapján összesíteni kell, úgy, hogy az alkalmazások bizalmasság, sértetlenség és rendelkezésre állás szerinti kárértékeit nem átlagoljuk, hanem azok maximumát vesszük. Az alkalmazás biztonsági osztályát összevonva úgy fejezzük ki, hogy a bizalmasság, sértetlenség, rendelkezésre állás hármasból a legnagyobb értéket vesszük.</w:t>
      </w:r>
    </w:p>
    <w:p w14:paraId="47576389" w14:textId="7DC22B2C" w:rsidR="00F0302D" w:rsidRPr="00D65BD6" w:rsidRDefault="00457075" w:rsidP="00F0302D">
      <w:r>
        <w:t xml:space="preserve">Az alábbi táblázat egy </w:t>
      </w:r>
      <w:r w:rsidR="000C63A0">
        <w:t>mintát mutat</w:t>
      </w:r>
      <w:r w:rsidR="00F0302D" w:rsidRPr="00D65BD6">
        <w:t xml:space="preserve"> az </w:t>
      </w:r>
      <w:r w:rsidR="00A85B1D">
        <w:t>EIR</w:t>
      </w:r>
      <w:r w:rsidR="00F0302D" w:rsidRPr="00D65BD6">
        <w:t xml:space="preserve"> és rendszerelemeinek biztonsági osztályai</w:t>
      </w:r>
      <w:r>
        <w:t>nak meghatározásához:</w:t>
      </w:r>
    </w:p>
    <w:tbl>
      <w:tblPr>
        <w:tblW w:w="9114" w:type="dxa"/>
        <w:tblLook w:val="04A0" w:firstRow="1" w:lastRow="0" w:firstColumn="1" w:lastColumn="0" w:noHBand="0" w:noVBand="1"/>
      </w:tblPr>
      <w:tblGrid>
        <w:gridCol w:w="3525"/>
        <w:gridCol w:w="510"/>
        <w:gridCol w:w="489"/>
        <w:gridCol w:w="480"/>
        <w:gridCol w:w="4110"/>
      </w:tblGrid>
      <w:tr w:rsidR="00F0302D" w:rsidRPr="00D65BD6" w14:paraId="759F94CA" w14:textId="77777777" w:rsidTr="00C67884">
        <w:tc>
          <w:tcPr>
            <w:tcW w:w="3525"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7E925BAD" w14:textId="6EA2F7C1" w:rsidR="00F0302D" w:rsidRPr="00D65BD6" w:rsidRDefault="00B2627E" w:rsidP="00C67884">
            <w:pPr>
              <w:rPr>
                <w:b/>
                <w:bCs/>
              </w:rPr>
            </w:pPr>
            <w:r>
              <w:rPr>
                <w:b/>
                <w:bCs/>
              </w:rPr>
              <w:t>A Rendszer által kezelt adatkörök</w:t>
            </w:r>
          </w:p>
        </w:tc>
        <w:tc>
          <w:tcPr>
            <w:tcW w:w="51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4FD4050A" w14:textId="77777777" w:rsidR="00F0302D" w:rsidRPr="00D65BD6" w:rsidRDefault="00F0302D" w:rsidP="00C67884">
            <w:pPr>
              <w:jc w:val="center"/>
              <w:rPr>
                <w:b/>
                <w:bCs/>
              </w:rPr>
            </w:pPr>
            <w:r w:rsidRPr="00D65BD6">
              <w:rPr>
                <w:b/>
                <w:bCs/>
              </w:rPr>
              <w:t>B</w:t>
            </w:r>
          </w:p>
        </w:tc>
        <w:tc>
          <w:tcPr>
            <w:tcW w:w="489"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13D240F4" w14:textId="77777777" w:rsidR="00F0302D" w:rsidRPr="00D65BD6" w:rsidRDefault="00F0302D" w:rsidP="00C67884">
            <w:pPr>
              <w:jc w:val="center"/>
              <w:rPr>
                <w:b/>
                <w:bCs/>
              </w:rPr>
            </w:pPr>
            <w:r w:rsidRPr="00D65BD6">
              <w:rPr>
                <w:b/>
                <w:bCs/>
              </w:rPr>
              <w:t>S</w:t>
            </w:r>
          </w:p>
        </w:tc>
        <w:tc>
          <w:tcPr>
            <w:tcW w:w="48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04128ED6" w14:textId="77777777" w:rsidR="00F0302D" w:rsidRPr="00D65BD6" w:rsidRDefault="00F0302D" w:rsidP="00C67884">
            <w:pPr>
              <w:jc w:val="center"/>
              <w:rPr>
                <w:b/>
                <w:bCs/>
              </w:rPr>
            </w:pPr>
            <w:r w:rsidRPr="00D65BD6">
              <w:rPr>
                <w:b/>
                <w:bCs/>
              </w:rPr>
              <w:t>R</w:t>
            </w:r>
          </w:p>
        </w:tc>
        <w:tc>
          <w:tcPr>
            <w:tcW w:w="4110" w:type="dxa"/>
            <w:tcBorders>
              <w:top w:val="single" w:sz="6" w:space="0" w:color="8CACBB"/>
              <w:left w:val="single" w:sz="6" w:space="0" w:color="8CACBB"/>
              <w:bottom w:val="single" w:sz="6" w:space="0" w:color="8CACBB"/>
              <w:right w:val="single" w:sz="6" w:space="0" w:color="8CACBB"/>
            </w:tcBorders>
            <w:shd w:val="clear" w:color="auto" w:fill="DEE7EC"/>
            <w:tcMar>
              <w:top w:w="45" w:type="dxa"/>
              <w:left w:w="45" w:type="dxa"/>
              <w:bottom w:w="45" w:type="dxa"/>
              <w:right w:w="45" w:type="dxa"/>
            </w:tcMar>
            <w:vAlign w:val="bottom"/>
          </w:tcPr>
          <w:p w14:paraId="56FE5213" w14:textId="14A50CC6" w:rsidR="00F0302D" w:rsidRPr="00D65BD6" w:rsidRDefault="00F0302D" w:rsidP="00C67884">
            <w:pPr>
              <w:jc w:val="center"/>
              <w:rPr>
                <w:b/>
                <w:bCs/>
              </w:rPr>
            </w:pPr>
            <w:r w:rsidRPr="00D65BD6">
              <w:rPr>
                <w:b/>
                <w:bCs/>
              </w:rPr>
              <w:t>Az informatikai rendszer biztonsági osztálya</w:t>
            </w:r>
          </w:p>
        </w:tc>
      </w:tr>
      <w:tr w:rsidR="00F0302D" w:rsidRPr="00D65BD6" w14:paraId="2CA93388" w14:textId="77777777" w:rsidTr="00C67884">
        <w:tc>
          <w:tcPr>
            <w:tcW w:w="352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061C0D2F" w14:textId="06FA9461" w:rsidR="00F0302D" w:rsidRPr="00D65BD6" w:rsidRDefault="00B2627E" w:rsidP="00C67884">
            <w:r>
              <w:t xml:space="preserve"> Adatkör1</w:t>
            </w:r>
          </w:p>
        </w:tc>
        <w:tc>
          <w:tcPr>
            <w:tcW w:w="51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7D328B07" w14:textId="0710DD14" w:rsidR="00F0302D" w:rsidRPr="00D65BD6" w:rsidRDefault="00B2627E" w:rsidP="00C67884">
            <w:pPr>
              <w:jc w:val="center"/>
            </w:pPr>
            <w:r>
              <w:t>2</w:t>
            </w:r>
          </w:p>
        </w:tc>
        <w:tc>
          <w:tcPr>
            <w:tcW w:w="48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170C8C46" w14:textId="28F41F93" w:rsidR="00F0302D" w:rsidRPr="00D65BD6" w:rsidRDefault="00B2627E" w:rsidP="00C67884">
            <w:pPr>
              <w:jc w:val="center"/>
            </w:pPr>
            <w:r>
              <w:t>2</w:t>
            </w:r>
          </w:p>
        </w:tc>
        <w:tc>
          <w:tcPr>
            <w:tcW w:w="48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576E0F4D" w14:textId="23A0DF46" w:rsidR="00F0302D" w:rsidRPr="00D65BD6" w:rsidRDefault="00B2627E" w:rsidP="00C67884">
            <w:pPr>
              <w:jc w:val="center"/>
            </w:pPr>
            <w:r>
              <w:t>3</w:t>
            </w:r>
          </w:p>
        </w:tc>
        <w:tc>
          <w:tcPr>
            <w:tcW w:w="411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344DEDD1" w14:textId="15729BB2" w:rsidR="00F0302D" w:rsidRPr="00457075" w:rsidRDefault="00B2627E" w:rsidP="00C67884">
            <w:pPr>
              <w:jc w:val="center"/>
            </w:pPr>
            <w:r w:rsidRPr="00457075">
              <w:t>3</w:t>
            </w:r>
          </w:p>
        </w:tc>
      </w:tr>
      <w:tr w:rsidR="00F0302D" w:rsidRPr="00D65BD6" w14:paraId="56FC15F4" w14:textId="77777777" w:rsidTr="00C67884">
        <w:tc>
          <w:tcPr>
            <w:tcW w:w="352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722AC29E" w14:textId="6487A23E" w:rsidR="00F0302D" w:rsidRPr="00D65BD6" w:rsidRDefault="00B2627E" w:rsidP="00C67884">
            <w:r>
              <w:t>Adatkör2</w:t>
            </w:r>
          </w:p>
        </w:tc>
        <w:tc>
          <w:tcPr>
            <w:tcW w:w="51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6D791BE9" w14:textId="03325702" w:rsidR="00F0302D" w:rsidRPr="00D65BD6" w:rsidRDefault="00B2627E" w:rsidP="00C67884">
            <w:pPr>
              <w:jc w:val="center"/>
            </w:pPr>
            <w:r>
              <w:t>3</w:t>
            </w:r>
          </w:p>
        </w:tc>
        <w:tc>
          <w:tcPr>
            <w:tcW w:w="48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5A30A4DE" w14:textId="72D3E875" w:rsidR="00F0302D" w:rsidRPr="00D65BD6" w:rsidRDefault="00B2627E" w:rsidP="00C67884">
            <w:pPr>
              <w:jc w:val="center"/>
            </w:pPr>
            <w:r>
              <w:t>3</w:t>
            </w:r>
          </w:p>
        </w:tc>
        <w:tc>
          <w:tcPr>
            <w:tcW w:w="48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1731AFCB" w14:textId="3026E0C8" w:rsidR="00F0302D" w:rsidRPr="00D65BD6" w:rsidRDefault="00B2627E" w:rsidP="00C67884">
            <w:pPr>
              <w:jc w:val="center"/>
            </w:pPr>
            <w:r>
              <w:t>2</w:t>
            </w:r>
          </w:p>
        </w:tc>
        <w:tc>
          <w:tcPr>
            <w:tcW w:w="411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6831BBBC" w14:textId="4196ED2C" w:rsidR="00F0302D" w:rsidRPr="00457075" w:rsidRDefault="00B2627E" w:rsidP="00C67884">
            <w:pPr>
              <w:jc w:val="center"/>
            </w:pPr>
            <w:r w:rsidRPr="00457075">
              <w:t>3</w:t>
            </w:r>
          </w:p>
        </w:tc>
      </w:tr>
      <w:tr w:rsidR="00F0302D" w:rsidRPr="00D65BD6" w14:paraId="364A2C51" w14:textId="77777777" w:rsidTr="000C63A0">
        <w:trPr>
          <w:trHeight w:val="284"/>
        </w:trPr>
        <w:tc>
          <w:tcPr>
            <w:tcW w:w="3525"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1FE318BF" w14:textId="2C7331FE" w:rsidR="00F0302D" w:rsidRPr="00D65BD6" w:rsidRDefault="00B2627E" w:rsidP="00C67884">
            <w:r>
              <w:t>Adatkör3</w:t>
            </w:r>
          </w:p>
        </w:tc>
        <w:tc>
          <w:tcPr>
            <w:tcW w:w="51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66390876" w14:textId="73984825" w:rsidR="00F0302D" w:rsidRPr="00D65BD6" w:rsidRDefault="00B2627E" w:rsidP="00C67884">
            <w:pPr>
              <w:jc w:val="center"/>
            </w:pPr>
            <w:r>
              <w:t>2</w:t>
            </w:r>
          </w:p>
        </w:tc>
        <w:tc>
          <w:tcPr>
            <w:tcW w:w="489"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35069619" w14:textId="1A3C671B" w:rsidR="00F0302D" w:rsidRPr="00D65BD6" w:rsidRDefault="00B2627E" w:rsidP="00C67884">
            <w:pPr>
              <w:jc w:val="center"/>
            </w:pPr>
            <w:r>
              <w:t>4</w:t>
            </w:r>
          </w:p>
        </w:tc>
        <w:tc>
          <w:tcPr>
            <w:tcW w:w="48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58B900E4" w14:textId="797487DE" w:rsidR="00F0302D" w:rsidRPr="00D65BD6" w:rsidRDefault="00B2627E" w:rsidP="00C67884">
            <w:pPr>
              <w:jc w:val="center"/>
            </w:pPr>
            <w:r>
              <w:t>3</w:t>
            </w:r>
          </w:p>
        </w:tc>
        <w:tc>
          <w:tcPr>
            <w:tcW w:w="4110" w:type="dxa"/>
            <w:tcBorders>
              <w:top w:val="single" w:sz="6" w:space="0" w:color="8CACBB"/>
              <w:left w:val="single" w:sz="6" w:space="0" w:color="8CACBB"/>
              <w:bottom w:val="single" w:sz="6" w:space="0" w:color="8CACBB"/>
              <w:right w:val="single" w:sz="6" w:space="0" w:color="8CACBB"/>
            </w:tcBorders>
            <w:shd w:val="clear" w:color="auto" w:fill="FFFFFF" w:themeFill="background1"/>
            <w:tcMar>
              <w:top w:w="45" w:type="dxa"/>
              <w:left w:w="45" w:type="dxa"/>
              <w:bottom w:w="45" w:type="dxa"/>
              <w:right w:w="45" w:type="dxa"/>
            </w:tcMar>
            <w:vAlign w:val="center"/>
          </w:tcPr>
          <w:p w14:paraId="4C64136D" w14:textId="77777777" w:rsidR="00F0302D" w:rsidRPr="00457075" w:rsidRDefault="00F0302D" w:rsidP="00C67884">
            <w:pPr>
              <w:jc w:val="center"/>
            </w:pPr>
            <w:r w:rsidRPr="00457075">
              <w:t>4</w:t>
            </w:r>
          </w:p>
        </w:tc>
      </w:tr>
      <w:tr w:rsidR="00F0302D" w:rsidRPr="00D65BD6" w14:paraId="77256648" w14:textId="77777777" w:rsidTr="00C67884">
        <w:tc>
          <w:tcPr>
            <w:tcW w:w="3525" w:type="dxa"/>
            <w:tcBorders>
              <w:top w:val="single" w:sz="6" w:space="0" w:color="8CACBB"/>
              <w:left w:val="single" w:sz="6" w:space="0" w:color="8CACBB"/>
              <w:bottom w:val="single" w:sz="6" w:space="0" w:color="8CACBB"/>
              <w:right w:val="single" w:sz="6" w:space="0" w:color="8CACBB"/>
            </w:tcBorders>
            <w:shd w:val="clear" w:color="auto" w:fill="E2EFD9" w:themeFill="accent6" w:themeFillTint="33"/>
            <w:tcMar>
              <w:top w:w="45" w:type="dxa"/>
              <w:left w:w="45" w:type="dxa"/>
              <w:bottom w:w="45" w:type="dxa"/>
              <w:right w:w="45" w:type="dxa"/>
            </w:tcMar>
            <w:vAlign w:val="center"/>
          </w:tcPr>
          <w:p w14:paraId="5692F298" w14:textId="1CFF27D4" w:rsidR="00F0302D" w:rsidRPr="00D65BD6" w:rsidRDefault="00F0302D" w:rsidP="00C67884">
            <w:r w:rsidRPr="00D65BD6">
              <w:t>A</w:t>
            </w:r>
            <w:r w:rsidR="00A85B1D">
              <w:t>z EIR</w:t>
            </w:r>
            <w:r w:rsidRPr="00D65BD6">
              <w:t xml:space="preserve"> biztonsági osztálya</w:t>
            </w:r>
          </w:p>
        </w:tc>
        <w:tc>
          <w:tcPr>
            <w:tcW w:w="510" w:type="dxa"/>
            <w:tcBorders>
              <w:top w:val="single" w:sz="6" w:space="0" w:color="8CACBB"/>
              <w:left w:val="single" w:sz="6" w:space="0" w:color="8CACBB"/>
              <w:bottom w:val="single" w:sz="6" w:space="0" w:color="8CACBB"/>
              <w:right w:val="single" w:sz="6" w:space="0" w:color="8CACBB"/>
            </w:tcBorders>
            <w:shd w:val="clear" w:color="auto" w:fill="E2EFD9" w:themeFill="accent6" w:themeFillTint="33"/>
            <w:tcMar>
              <w:top w:w="45" w:type="dxa"/>
              <w:left w:w="45" w:type="dxa"/>
              <w:bottom w:w="45" w:type="dxa"/>
              <w:right w:w="45" w:type="dxa"/>
            </w:tcMar>
            <w:vAlign w:val="center"/>
          </w:tcPr>
          <w:p w14:paraId="5E71A2E2" w14:textId="5B05F33F" w:rsidR="00F0302D" w:rsidRPr="00DD76C8" w:rsidRDefault="00B2627E" w:rsidP="00C67884">
            <w:pPr>
              <w:jc w:val="center"/>
              <w:rPr>
                <w:b/>
                <w:bCs/>
              </w:rPr>
            </w:pPr>
            <w:r w:rsidRPr="00DD76C8">
              <w:rPr>
                <w:b/>
                <w:bCs/>
              </w:rPr>
              <w:t>3</w:t>
            </w:r>
          </w:p>
        </w:tc>
        <w:tc>
          <w:tcPr>
            <w:tcW w:w="489" w:type="dxa"/>
            <w:tcBorders>
              <w:top w:val="single" w:sz="6" w:space="0" w:color="8CACBB"/>
              <w:left w:val="single" w:sz="6" w:space="0" w:color="8CACBB"/>
              <w:bottom w:val="single" w:sz="6" w:space="0" w:color="8CACBB"/>
              <w:right w:val="single" w:sz="6" w:space="0" w:color="8CACBB"/>
            </w:tcBorders>
            <w:shd w:val="clear" w:color="auto" w:fill="E2EFD9" w:themeFill="accent6" w:themeFillTint="33"/>
            <w:tcMar>
              <w:top w:w="45" w:type="dxa"/>
              <w:left w:w="45" w:type="dxa"/>
              <w:bottom w:w="45" w:type="dxa"/>
              <w:right w:w="45" w:type="dxa"/>
            </w:tcMar>
            <w:vAlign w:val="center"/>
          </w:tcPr>
          <w:p w14:paraId="4882A6FF" w14:textId="77777777" w:rsidR="00F0302D" w:rsidRPr="00DD76C8" w:rsidRDefault="00F0302D" w:rsidP="00C67884">
            <w:pPr>
              <w:jc w:val="center"/>
              <w:rPr>
                <w:b/>
                <w:bCs/>
              </w:rPr>
            </w:pPr>
            <w:r w:rsidRPr="00DD76C8">
              <w:rPr>
                <w:b/>
                <w:bCs/>
              </w:rPr>
              <w:t>4</w:t>
            </w:r>
          </w:p>
        </w:tc>
        <w:tc>
          <w:tcPr>
            <w:tcW w:w="480" w:type="dxa"/>
            <w:tcBorders>
              <w:top w:val="single" w:sz="6" w:space="0" w:color="8CACBB"/>
              <w:left w:val="single" w:sz="6" w:space="0" w:color="8CACBB"/>
              <w:bottom w:val="single" w:sz="6" w:space="0" w:color="8CACBB"/>
              <w:right w:val="single" w:sz="6" w:space="0" w:color="8CACBB"/>
            </w:tcBorders>
            <w:shd w:val="clear" w:color="auto" w:fill="E2EFD9" w:themeFill="accent6" w:themeFillTint="33"/>
            <w:tcMar>
              <w:top w:w="45" w:type="dxa"/>
              <w:left w:w="45" w:type="dxa"/>
              <w:bottom w:w="45" w:type="dxa"/>
              <w:right w:w="45" w:type="dxa"/>
            </w:tcMar>
            <w:vAlign w:val="center"/>
          </w:tcPr>
          <w:p w14:paraId="574D57E2" w14:textId="7326B36E" w:rsidR="00F0302D" w:rsidRPr="00DD76C8" w:rsidRDefault="00B2627E" w:rsidP="00C67884">
            <w:pPr>
              <w:jc w:val="center"/>
              <w:rPr>
                <w:b/>
                <w:bCs/>
              </w:rPr>
            </w:pPr>
            <w:r w:rsidRPr="00DD76C8">
              <w:rPr>
                <w:b/>
                <w:bCs/>
              </w:rPr>
              <w:t>3</w:t>
            </w:r>
          </w:p>
        </w:tc>
        <w:tc>
          <w:tcPr>
            <w:tcW w:w="4110" w:type="dxa"/>
            <w:tcBorders>
              <w:top w:val="single" w:sz="6" w:space="0" w:color="8CACBB"/>
              <w:left w:val="single" w:sz="6" w:space="0" w:color="8CACBB"/>
              <w:bottom w:val="single" w:sz="6" w:space="0" w:color="8CACBB"/>
              <w:right w:val="single" w:sz="6" w:space="0" w:color="8CACBB"/>
            </w:tcBorders>
            <w:shd w:val="clear" w:color="auto" w:fill="E2EFD9" w:themeFill="accent6" w:themeFillTint="33"/>
            <w:tcMar>
              <w:top w:w="45" w:type="dxa"/>
              <w:left w:w="45" w:type="dxa"/>
              <w:bottom w:w="45" w:type="dxa"/>
              <w:right w:w="45" w:type="dxa"/>
            </w:tcMar>
            <w:vAlign w:val="center"/>
          </w:tcPr>
          <w:p w14:paraId="4D314B5F" w14:textId="6BB1EE55" w:rsidR="00F0302D" w:rsidRPr="00D65BD6" w:rsidRDefault="00B2627E" w:rsidP="00C67884">
            <w:pPr>
              <w:jc w:val="center"/>
              <w:rPr>
                <w:b/>
                <w:bCs/>
              </w:rPr>
            </w:pPr>
            <w:r>
              <w:rPr>
                <w:b/>
                <w:bCs/>
              </w:rPr>
              <w:t>4</w:t>
            </w:r>
          </w:p>
        </w:tc>
      </w:tr>
    </w:tbl>
    <w:p w14:paraId="17567D0D" w14:textId="77777777" w:rsidR="006F4627" w:rsidRPr="00D65BD6" w:rsidRDefault="006F4627" w:rsidP="006F4627">
      <w:pPr>
        <w:contextualSpacing/>
      </w:pPr>
    </w:p>
    <w:p w14:paraId="51D6B084" w14:textId="03A7B8C6" w:rsidR="00295816" w:rsidRDefault="00827725" w:rsidP="000C63A0">
      <w:pPr>
        <w:contextualSpacing/>
      </w:pPr>
      <w:r w:rsidRPr="00827725">
        <w:t>Amellett, hogy az érintett szervezetre érvényes minden kötelezettséget figyelembe kell venni</w:t>
      </w:r>
      <w:r>
        <w:t>, a</w:t>
      </w:r>
      <w:r w:rsidR="00A85B1D">
        <w:t>z</w:t>
      </w:r>
      <w:r>
        <w:t xml:space="preserve"> </w:t>
      </w:r>
      <w:r w:rsidR="00A85B1D">
        <w:t>EI</w:t>
      </w:r>
      <w:r>
        <w:t>R kialakítása során implementálni kell és fent kell tartani a fenti folyamat eredményeként kapott biztonsági osztályhoz tartozó,</w:t>
      </w:r>
      <w:r w:rsidRPr="00827725">
        <w:t xml:space="preserve"> 41/2015 BM rendelet 3. pontja szerinti védelmi intézkedés katalógusban meghatározott minimális követelményeket.</w:t>
      </w:r>
      <w:r w:rsidR="000C63A0">
        <w:t xml:space="preserve"> </w:t>
      </w:r>
    </w:p>
    <w:p w14:paraId="509620EE" w14:textId="77777777" w:rsidR="00A84B56" w:rsidRDefault="00A84B56" w:rsidP="000C63A0">
      <w:pPr>
        <w:contextualSpacing/>
      </w:pPr>
    </w:p>
    <w:p w14:paraId="11A4B8A0" w14:textId="1EA020E1" w:rsidR="00295816" w:rsidRDefault="00295816" w:rsidP="00295816">
      <w:pPr>
        <w:pStyle w:val="Cmsor2"/>
      </w:pPr>
      <w:bookmarkStart w:id="16" w:name="_Toc128816725"/>
      <w:r>
        <w:t>A</w:t>
      </w:r>
      <w:r w:rsidR="00034714">
        <w:t>z előzetes</w:t>
      </w:r>
      <w:r>
        <w:t xml:space="preserve"> biztonsági osztályba sorolás jóváhagyása és felülvizsgálata</w:t>
      </w:r>
      <w:bookmarkEnd w:id="16"/>
    </w:p>
    <w:p w14:paraId="5E43D7BD" w14:textId="1E0A50C2" w:rsidR="00295816" w:rsidRDefault="00295816" w:rsidP="00295816">
      <w:pPr>
        <w:tabs>
          <w:tab w:val="left" w:pos="3091"/>
        </w:tabs>
      </w:pPr>
      <w:r w:rsidRPr="00D65BD6">
        <w:t>A</w:t>
      </w:r>
      <w:r w:rsidR="00E63B1E">
        <w:t>z</w:t>
      </w:r>
      <w:r w:rsidRPr="00D65BD6">
        <w:t xml:space="preserve"> </w:t>
      </w:r>
      <w:r w:rsidR="00E63B1E">
        <w:t>EI</w:t>
      </w:r>
      <w:r w:rsidRPr="00D65BD6">
        <w:t>R</w:t>
      </w:r>
      <w:r w:rsidR="00034714">
        <w:t xml:space="preserve"> előzetes</w:t>
      </w:r>
      <w:r w:rsidRPr="00D65BD6">
        <w:t xml:space="preserve"> osztályba sorolás eredményét az érintett szervezet vezetőjének kell jóváhagynia.</w:t>
      </w:r>
      <w:r>
        <w:t xml:space="preserve"> A szervezet vezetője</w:t>
      </w:r>
      <w:r w:rsidRPr="00A748D7">
        <w:t xml:space="preserve"> felel </w:t>
      </w:r>
      <w:r>
        <w:t>azért, hogy a</w:t>
      </w:r>
      <w:r w:rsidR="00E63B1E">
        <w:t>z</w:t>
      </w:r>
      <w:r>
        <w:t xml:space="preserve"> </w:t>
      </w:r>
      <w:r w:rsidR="00E63B1E">
        <w:t>EI</w:t>
      </w:r>
      <w:r>
        <w:t xml:space="preserve">R biztonsági osztályának meghatározása megfelel a </w:t>
      </w:r>
      <w:r w:rsidRPr="00A748D7">
        <w:t xml:space="preserve">jogszabályoknak és kockázatoknak, </w:t>
      </w:r>
      <w:r>
        <w:t>valamint a besorolásban</w:t>
      </w:r>
      <w:r w:rsidRPr="00A748D7">
        <w:t xml:space="preserve"> felhasznált adatok teljes</w:t>
      </w:r>
      <w:r>
        <w:t>körűek</w:t>
      </w:r>
      <w:r w:rsidRPr="00A748D7">
        <w:t xml:space="preserve">. </w:t>
      </w:r>
    </w:p>
    <w:p w14:paraId="6939A18B" w14:textId="0CC8EFA8" w:rsidR="000C63A0" w:rsidRDefault="00DD76C8" w:rsidP="000C63A0">
      <w:pPr>
        <w:contextualSpacing/>
      </w:pPr>
      <w:r>
        <w:t>A projektek</w:t>
      </w:r>
      <w:r w:rsidR="000C63A0">
        <w:t xml:space="preserve">en belül minden egyes újonnan implementálandó </w:t>
      </w:r>
      <w:r w:rsidR="00E63B1E">
        <w:t xml:space="preserve">EIR </w:t>
      </w:r>
      <w:r w:rsidR="000C63A0">
        <w:t xml:space="preserve">esetében el kell végezni az előzetes biztonsági osztályba sorolást, illetve a projekt hatókörének, illetve a kezelt adatok körének minden változása esetén azt </w:t>
      </w:r>
      <w:r w:rsidR="00295816">
        <w:t xml:space="preserve">dokumentált módon </w:t>
      </w:r>
      <w:r w:rsidR="000C63A0">
        <w:t xml:space="preserve">felül kell vizsgálni.  </w:t>
      </w:r>
    </w:p>
    <w:p w14:paraId="28ECFB79" w14:textId="77777777" w:rsidR="000C63A0" w:rsidRDefault="000C63A0" w:rsidP="000C63A0">
      <w:pPr>
        <w:contextualSpacing/>
      </w:pPr>
    </w:p>
    <w:p w14:paraId="44A47091" w14:textId="139EB6F5" w:rsidR="007D2601" w:rsidRDefault="000D79B7" w:rsidP="006A64ED">
      <w:pPr>
        <w:contextualSpacing/>
      </w:pPr>
      <w:r w:rsidRPr="00A748D7">
        <w:lastRenderedPageBreak/>
        <w:t>A biztonsági osztályba sorolás</w:t>
      </w:r>
      <w:r w:rsidR="000C63A0">
        <w:t>i kötelezettséget a jogszabály szerint</w:t>
      </w:r>
      <w:r w:rsidRPr="00A748D7">
        <w:t xml:space="preserve"> a szervezet informatikai biztonsági szabályzatában</w:t>
      </w:r>
      <w:r w:rsidR="000C63A0">
        <w:t xml:space="preserve"> elő kell írni, ú</w:t>
      </w:r>
      <w:r w:rsidR="00DA09C8" w:rsidRPr="00D65BD6">
        <w:t xml:space="preserve">j </w:t>
      </w:r>
      <w:r w:rsidR="00E63B1E">
        <w:t>EIR-</w:t>
      </w:r>
      <w:r w:rsidR="00DA09C8" w:rsidRPr="00D65BD6">
        <w:t>ek implementálásának esetén az előzetes biztonsági osztályba sorolást a szervezeteknek célszerű a beszerzéssel</w:t>
      </w:r>
      <w:r w:rsidR="000C63A0">
        <w:t>, illetve a projekt menedzsmenttel</w:t>
      </w:r>
      <w:r w:rsidR="00DA09C8" w:rsidRPr="00D65BD6">
        <w:t xml:space="preserve"> kapcsolatos szabályozási környezetük részévé tenni, hogy ezzel is támogassák az információbiztonság növelésére tett törekvések hatékony irányításához és felügyeletéhez szükséges intézkedések hatékony megvalósítását.</w:t>
      </w:r>
    </w:p>
    <w:p w14:paraId="7F60B78C" w14:textId="77777777" w:rsidR="007D2601" w:rsidRDefault="007D2601" w:rsidP="006A64ED">
      <w:pPr>
        <w:contextualSpacing/>
      </w:pPr>
    </w:p>
    <w:p w14:paraId="2554BF1E" w14:textId="4ADD8DF3" w:rsidR="00293C27" w:rsidRDefault="00AB6398" w:rsidP="006A64ED">
      <w:r>
        <w:t xml:space="preserve">A fejlesztendő </w:t>
      </w:r>
      <w:r w:rsidR="00E63B1E">
        <w:t xml:space="preserve">EIR </w:t>
      </w:r>
      <w:r w:rsidR="00034714">
        <w:t xml:space="preserve">előzetes </w:t>
      </w:r>
      <w:r>
        <w:t>biztonsági osztályba sorolását úgy kell elvégezni, hogy a</w:t>
      </w:r>
      <w:r w:rsidR="006773DB">
        <w:t>bból a</w:t>
      </w:r>
      <w:r>
        <w:t xml:space="preserve"> besorolás megfelelősége megítélhető legyen. </w:t>
      </w:r>
      <w:r w:rsidR="006A64ED">
        <w:t>Amennyiben a szervezet a</w:t>
      </w:r>
      <w:r w:rsidR="00293C27" w:rsidRPr="00293C27">
        <w:t xml:space="preserve">z </w:t>
      </w:r>
      <w:r w:rsidR="006A64ED">
        <w:t xml:space="preserve">előzőekben </w:t>
      </w:r>
      <w:r w:rsidR="00A006C7">
        <w:t>leírtaktól</w:t>
      </w:r>
      <w:r w:rsidR="00293C27" w:rsidRPr="00293C27">
        <w:t xml:space="preserve"> eltérő kockázat</w:t>
      </w:r>
      <w:r w:rsidR="004826B0">
        <w:t>értékelési</w:t>
      </w:r>
      <w:r w:rsidR="00293C27" w:rsidRPr="00293C27">
        <w:t xml:space="preserve"> módszertan</w:t>
      </w:r>
      <w:r w:rsidR="004826B0">
        <w:t>t</w:t>
      </w:r>
      <w:r w:rsidR="00293C27" w:rsidRPr="00293C27">
        <w:t xml:space="preserve"> használ</w:t>
      </w:r>
      <w:r w:rsidR="006A64ED">
        <w:t xml:space="preserve">, </w:t>
      </w:r>
      <w:r w:rsidR="004826B0">
        <w:t>a</w:t>
      </w:r>
      <w:r w:rsidR="00293C27" w:rsidRPr="00293C27">
        <w:t xml:space="preserve"> </w:t>
      </w:r>
      <w:r w:rsidR="004826B0">
        <w:t xml:space="preserve">dokumentációnak tartalmazni kell a </w:t>
      </w:r>
      <w:r w:rsidR="00293C27" w:rsidRPr="00293C27">
        <w:t>kockáza</w:t>
      </w:r>
      <w:r w:rsidR="004826B0">
        <w:t xml:space="preserve">tértékelés </w:t>
      </w:r>
      <w:r w:rsidR="006A64ED">
        <w:t xml:space="preserve">módszertani </w:t>
      </w:r>
      <w:r w:rsidR="004826B0">
        <w:t xml:space="preserve">leírását </w:t>
      </w:r>
      <w:r w:rsidR="006A64ED">
        <w:t xml:space="preserve">és eredmény </w:t>
      </w:r>
      <w:r w:rsidR="00293C27" w:rsidRPr="00293C27">
        <w:t>dokument</w:t>
      </w:r>
      <w:r w:rsidR="004826B0">
        <w:t>umát is.</w:t>
      </w:r>
      <w:r w:rsidR="00293C27">
        <w:t xml:space="preserve"> </w:t>
      </w:r>
    </w:p>
    <w:p w14:paraId="58F67764" w14:textId="18032A79" w:rsidR="00E74599" w:rsidRPr="00D65BD6" w:rsidRDefault="006A64ED" w:rsidP="00E71403">
      <w:r>
        <w:t xml:space="preserve">Az információbiztonsági tervben szerepeltetni kell az elvégzett kockázatelemzés </w:t>
      </w:r>
      <w:r w:rsidR="00E71403">
        <w:t>releváns adatait és következtetéseit, valamint a</w:t>
      </w:r>
      <w:r w:rsidR="00034714">
        <w:t>z előzetes</w:t>
      </w:r>
      <w:r w:rsidR="00E71403">
        <w:t xml:space="preserve"> </w:t>
      </w:r>
      <w:r w:rsidR="00E03D81">
        <w:t>biztonsági osztályba sorolás eredményét.</w:t>
      </w:r>
    </w:p>
    <w:sectPr w:rsidR="00E74599" w:rsidRPr="00D65BD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8B2E" w14:textId="77777777" w:rsidR="00F4689C" w:rsidRDefault="00F4689C" w:rsidP="009D47FE">
      <w:pPr>
        <w:spacing w:after="0" w:line="240" w:lineRule="auto"/>
      </w:pPr>
      <w:r>
        <w:separator/>
      </w:r>
    </w:p>
  </w:endnote>
  <w:endnote w:type="continuationSeparator" w:id="0">
    <w:p w14:paraId="7FFBC2A2" w14:textId="77777777" w:rsidR="00F4689C" w:rsidRDefault="00F4689C" w:rsidP="009D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Címsorok, komp">
    <w:altName w:val="Times New Roman"/>
    <w:charset w:val="00"/>
    <w:family w:val="roman"/>
    <w:pitch w:val="variable"/>
    <w:sig w:usb0="E0002AFF" w:usb1="C0007841" w:usb2="00000009" w:usb3="00000000" w:csb0="000001FF" w:csb1="00000000"/>
  </w:font>
  <w:font w:name="Bai Jamjuree Regular">
    <w:altName w:val="Calibri"/>
    <w:charset w:val="58"/>
    <w:family w:val="auto"/>
    <w:pitch w:val="variable"/>
    <w:sig w:usb0="21000007" w:usb1="00000001" w:usb2="00000000" w:usb3="00000000" w:csb0="00010193"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79126"/>
      <w:docPartObj>
        <w:docPartGallery w:val="Page Numbers (Bottom of Page)"/>
        <w:docPartUnique/>
      </w:docPartObj>
    </w:sdtPr>
    <w:sdtEndPr/>
    <w:sdtContent>
      <w:p w14:paraId="5DB8E819" w14:textId="18D8C86D" w:rsidR="00A45E4E" w:rsidRPr="00A45E4E" w:rsidRDefault="00A45E4E">
        <w:pPr>
          <w:pStyle w:val="llb"/>
          <w:jc w:val="center"/>
        </w:pPr>
        <w:r w:rsidRPr="00A45E4E">
          <w:fldChar w:fldCharType="begin"/>
        </w:r>
        <w:r w:rsidRPr="00A45E4E">
          <w:instrText>PAGE   \* MERGEFORMAT</w:instrText>
        </w:r>
        <w:r w:rsidRPr="00A45E4E">
          <w:fldChar w:fldCharType="separate"/>
        </w:r>
        <w:r w:rsidRPr="00A45E4E">
          <w:t>2</w:t>
        </w:r>
        <w:r w:rsidRPr="00A45E4E">
          <w:fldChar w:fldCharType="end"/>
        </w:r>
      </w:p>
    </w:sdtContent>
  </w:sdt>
  <w:p w14:paraId="6F73ED93" w14:textId="77777777" w:rsidR="00A45E4E" w:rsidRDefault="00A45E4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3533" w14:textId="77777777" w:rsidR="00F4689C" w:rsidRDefault="00F4689C" w:rsidP="009D47FE">
      <w:pPr>
        <w:spacing w:after="0" w:line="240" w:lineRule="auto"/>
      </w:pPr>
      <w:r>
        <w:separator/>
      </w:r>
    </w:p>
  </w:footnote>
  <w:footnote w:type="continuationSeparator" w:id="0">
    <w:p w14:paraId="52A87DD1" w14:textId="77777777" w:rsidR="00F4689C" w:rsidRDefault="00F4689C" w:rsidP="009D47FE">
      <w:pPr>
        <w:spacing w:after="0" w:line="240" w:lineRule="auto"/>
      </w:pPr>
      <w:r>
        <w:continuationSeparator/>
      </w:r>
    </w:p>
  </w:footnote>
  <w:footnote w:id="1">
    <w:p w14:paraId="5C19AB8A" w14:textId="77777777" w:rsidR="002911EF" w:rsidRDefault="002911EF" w:rsidP="002911EF">
      <w:pPr>
        <w:pStyle w:val="Lbjegyzetszveg"/>
      </w:pPr>
      <w:r>
        <w:rPr>
          <w:rStyle w:val="Lbjegyzet-hivatkozs"/>
        </w:rPr>
        <w:footnoteRef/>
      </w:r>
      <w:r>
        <w:t xml:space="preserve"> </w:t>
      </w:r>
      <w:r w:rsidRPr="00F1073C">
        <w:t>GDPR 30. cikk.</w:t>
      </w:r>
    </w:p>
  </w:footnote>
  <w:footnote w:id="2">
    <w:p w14:paraId="29BB620F" w14:textId="129A3075" w:rsidR="001D22E4" w:rsidRDefault="001D22E4">
      <w:pPr>
        <w:pStyle w:val="Lbjegyzetszveg"/>
      </w:pPr>
      <w:r>
        <w:rPr>
          <w:rStyle w:val="Lbjegyzet-hivatkozs"/>
        </w:rPr>
        <w:footnoteRef/>
      </w:r>
      <w:r>
        <w:t xml:space="preserve"> 41/2015. BM rend. 1. melléklet 1.2</w:t>
      </w:r>
    </w:p>
  </w:footnote>
  <w:footnote w:id="3">
    <w:p w14:paraId="10332120" w14:textId="77777777" w:rsidR="00F0302D" w:rsidRDefault="00F0302D" w:rsidP="00F0302D">
      <w:pPr>
        <w:pStyle w:val="Lbjegyzetszveg"/>
      </w:pPr>
      <w:r>
        <w:rPr>
          <w:rStyle w:val="Lbjegyzet-hivatkozs"/>
        </w:rPr>
        <w:footnoteRef/>
      </w:r>
      <w:r>
        <w:t xml:space="preserve"> </w:t>
      </w:r>
      <w:r w:rsidRPr="00266189">
        <w:t>https://nki.gov.hu/wp-content/uploads/2019/03/ovi460.xltm</w:t>
      </w:r>
    </w:p>
  </w:footnote>
  <w:footnote w:id="4">
    <w:p w14:paraId="06E56DD8" w14:textId="66FBD418" w:rsidR="00136E44" w:rsidRDefault="00136E44">
      <w:pPr>
        <w:pStyle w:val="Lbjegyzetszveg"/>
      </w:pPr>
      <w:r>
        <w:rPr>
          <w:rStyle w:val="Lbjegyzet-hivatkozs"/>
        </w:rPr>
        <w:footnoteRef/>
      </w:r>
      <w:r>
        <w:t xml:space="preserve"> </w:t>
      </w:r>
      <w:r w:rsidRPr="00D65BD6">
        <w:t>NEIH által kiadott „Osztályba sorolás és védelmi intézkedés űrlap v4.60”</w:t>
      </w:r>
      <w:r>
        <w:t xml:space="preserve"> </w:t>
      </w:r>
      <w:r w:rsidR="00BE6F21">
        <w:t>– „Osztályba sorolás” munkalap</w:t>
      </w:r>
    </w:p>
  </w:footnote>
  <w:footnote w:id="5">
    <w:p w14:paraId="322E1A8C" w14:textId="2DA1BFC2" w:rsidR="00BE6F21" w:rsidRDefault="00BE6F21">
      <w:pPr>
        <w:pStyle w:val="Lbjegyzetszveg"/>
      </w:pPr>
      <w:r>
        <w:rPr>
          <w:rStyle w:val="Lbjegyzet-hivatkozs"/>
        </w:rPr>
        <w:footnoteRef/>
      </w:r>
      <w:r>
        <w:t xml:space="preserve"> </w:t>
      </w:r>
      <w:r>
        <w:rPr>
          <w:rStyle w:val="Lbjegyzet-hivatkozs"/>
        </w:rPr>
        <w:footnoteRef/>
      </w:r>
      <w:r>
        <w:t xml:space="preserve"> </w:t>
      </w:r>
      <w:r w:rsidRPr="00D65BD6">
        <w:t>NEIH által kiadott „Osztályba sorolás és védelmi intézkedés űrlap v4.60”</w:t>
      </w:r>
      <w:r>
        <w:t xml:space="preserve"> – „Osztályba sorolás” munkalap</w:t>
      </w:r>
    </w:p>
  </w:footnote>
  <w:footnote w:id="6">
    <w:p w14:paraId="356FFA22" w14:textId="0AB0BFAB" w:rsidR="00BE6F21" w:rsidRDefault="00BE6F21">
      <w:pPr>
        <w:pStyle w:val="Lbjegyzetszveg"/>
      </w:pPr>
      <w:r>
        <w:rPr>
          <w:rStyle w:val="Lbjegyzet-hivatkozs"/>
        </w:rPr>
        <w:footnoteRef/>
      </w:r>
      <w:r>
        <w:t xml:space="preserve"> </w:t>
      </w:r>
      <w:r>
        <w:rPr>
          <w:rStyle w:val="Lbjegyzet-hivatkozs"/>
        </w:rPr>
        <w:footnoteRef/>
      </w:r>
      <w:r>
        <w:t xml:space="preserve"> </w:t>
      </w:r>
      <w:r w:rsidRPr="00D65BD6">
        <w:t>NEIH által kiadott „Osztályba sorolás és védelmi intézkedés űrlap v4.60”</w:t>
      </w:r>
      <w:r>
        <w:t xml:space="preserve"> – „Osztályba sorolás” munkalap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DC4"/>
    <w:multiLevelType w:val="hybridMultilevel"/>
    <w:tmpl w:val="ADD8D53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F0446E2"/>
    <w:multiLevelType w:val="hybridMultilevel"/>
    <w:tmpl w:val="5E86980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F20D80"/>
    <w:multiLevelType w:val="hybridMultilevel"/>
    <w:tmpl w:val="734E02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ED2809"/>
    <w:multiLevelType w:val="hybridMultilevel"/>
    <w:tmpl w:val="1A823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DA5FE9"/>
    <w:multiLevelType w:val="hybridMultilevel"/>
    <w:tmpl w:val="10FABB34"/>
    <w:lvl w:ilvl="0" w:tplc="040E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85476C"/>
    <w:multiLevelType w:val="multilevel"/>
    <w:tmpl w:val="65C818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830D1F"/>
    <w:multiLevelType w:val="multilevel"/>
    <w:tmpl w:val="D5AE2CE8"/>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16A60"/>
    <w:multiLevelType w:val="hybridMultilevel"/>
    <w:tmpl w:val="5F9A28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F67F8B"/>
    <w:multiLevelType w:val="hybridMultilevel"/>
    <w:tmpl w:val="76AAD1CA"/>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78646E"/>
    <w:multiLevelType w:val="hybridMultilevel"/>
    <w:tmpl w:val="4A74C9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2393F11"/>
    <w:multiLevelType w:val="multilevel"/>
    <w:tmpl w:val="677E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91E00"/>
    <w:multiLevelType w:val="hybridMultilevel"/>
    <w:tmpl w:val="FE9085C0"/>
    <w:lvl w:ilvl="0" w:tplc="75F21EB0">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F6E6264"/>
    <w:multiLevelType w:val="hybridMultilevel"/>
    <w:tmpl w:val="DA6020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12F467B"/>
    <w:multiLevelType w:val="hybridMultilevel"/>
    <w:tmpl w:val="976A282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B5144D"/>
    <w:multiLevelType w:val="multilevel"/>
    <w:tmpl w:val="86527A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6C62317"/>
    <w:multiLevelType w:val="multilevel"/>
    <w:tmpl w:val="6366C06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59F84F35"/>
    <w:multiLevelType w:val="hybridMultilevel"/>
    <w:tmpl w:val="9F9C93BE"/>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48A0A25E">
      <w:start w:val="2"/>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C697D13"/>
    <w:multiLevelType w:val="hybridMultilevel"/>
    <w:tmpl w:val="1668137C"/>
    <w:lvl w:ilvl="0" w:tplc="98380C58">
      <w:numFmt w:val="bullet"/>
      <w:lvlText w:val="❖"/>
      <w:lvlJc w:val="left"/>
      <w:pPr>
        <w:ind w:left="720" w:hanging="360"/>
      </w:pPr>
      <w:rPr>
        <w:rFonts w:ascii="MS Gothic" w:eastAsia="MS Gothic" w:hAnsi="MS Gothic" w:cs="MS Gothic" w:hint="default"/>
        <w:b w:val="0"/>
        <w:bCs w:val="0"/>
        <w:i w:val="0"/>
        <w:iCs w:val="0"/>
        <w:color w:val="545459"/>
        <w:w w:val="100"/>
        <w:sz w:val="22"/>
        <w:szCs w:val="22"/>
        <w:lang w:val="en-US" w:eastAsia="en-US" w:bidi="ar-SA"/>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CCA6D67"/>
    <w:multiLevelType w:val="multilevel"/>
    <w:tmpl w:val="65C818C4"/>
    <w:styleLink w:val="Aktulislista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B817B2F"/>
    <w:multiLevelType w:val="hybridMultilevel"/>
    <w:tmpl w:val="1E0E5F9E"/>
    <w:lvl w:ilvl="0" w:tplc="040E0001">
      <w:start w:val="1"/>
      <w:numFmt w:val="bullet"/>
      <w:lvlText w:val=""/>
      <w:lvlJc w:val="left"/>
      <w:pPr>
        <w:ind w:left="772" w:hanging="360"/>
      </w:pPr>
      <w:rPr>
        <w:rFonts w:ascii="Symbol" w:hAnsi="Symbol" w:hint="default"/>
      </w:rPr>
    </w:lvl>
    <w:lvl w:ilvl="1" w:tplc="040E0003" w:tentative="1">
      <w:start w:val="1"/>
      <w:numFmt w:val="bullet"/>
      <w:lvlText w:val="o"/>
      <w:lvlJc w:val="left"/>
      <w:pPr>
        <w:ind w:left="1492" w:hanging="360"/>
      </w:pPr>
      <w:rPr>
        <w:rFonts w:ascii="Courier New" w:hAnsi="Courier New" w:hint="default"/>
      </w:rPr>
    </w:lvl>
    <w:lvl w:ilvl="2" w:tplc="040E0005" w:tentative="1">
      <w:start w:val="1"/>
      <w:numFmt w:val="bullet"/>
      <w:lvlText w:val=""/>
      <w:lvlJc w:val="left"/>
      <w:pPr>
        <w:ind w:left="2212" w:hanging="360"/>
      </w:pPr>
      <w:rPr>
        <w:rFonts w:ascii="Wingdings" w:hAnsi="Wingdings" w:hint="default"/>
      </w:rPr>
    </w:lvl>
    <w:lvl w:ilvl="3" w:tplc="040E0001" w:tentative="1">
      <w:start w:val="1"/>
      <w:numFmt w:val="bullet"/>
      <w:lvlText w:val=""/>
      <w:lvlJc w:val="left"/>
      <w:pPr>
        <w:ind w:left="2932" w:hanging="360"/>
      </w:pPr>
      <w:rPr>
        <w:rFonts w:ascii="Symbol" w:hAnsi="Symbol" w:hint="default"/>
      </w:rPr>
    </w:lvl>
    <w:lvl w:ilvl="4" w:tplc="040E0003" w:tentative="1">
      <w:start w:val="1"/>
      <w:numFmt w:val="bullet"/>
      <w:lvlText w:val="o"/>
      <w:lvlJc w:val="left"/>
      <w:pPr>
        <w:ind w:left="3652" w:hanging="360"/>
      </w:pPr>
      <w:rPr>
        <w:rFonts w:ascii="Courier New" w:hAnsi="Courier New" w:hint="default"/>
      </w:rPr>
    </w:lvl>
    <w:lvl w:ilvl="5" w:tplc="040E0005" w:tentative="1">
      <w:start w:val="1"/>
      <w:numFmt w:val="bullet"/>
      <w:lvlText w:val=""/>
      <w:lvlJc w:val="left"/>
      <w:pPr>
        <w:ind w:left="4372" w:hanging="360"/>
      </w:pPr>
      <w:rPr>
        <w:rFonts w:ascii="Wingdings" w:hAnsi="Wingdings" w:hint="default"/>
      </w:rPr>
    </w:lvl>
    <w:lvl w:ilvl="6" w:tplc="040E0001" w:tentative="1">
      <w:start w:val="1"/>
      <w:numFmt w:val="bullet"/>
      <w:lvlText w:val=""/>
      <w:lvlJc w:val="left"/>
      <w:pPr>
        <w:ind w:left="5092" w:hanging="360"/>
      </w:pPr>
      <w:rPr>
        <w:rFonts w:ascii="Symbol" w:hAnsi="Symbol" w:hint="default"/>
      </w:rPr>
    </w:lvl>
    <w:lvl w:ilvl="7" w:tplc="040E0003" w:tentative="1">
      <w:start w:val="1"/>
      <w:numFmt w:val="bullet"/>
      <w:lvlText w:val="o"/>
      <w:lvlJc w:val="left"/>
      <w:pPr>
        <w:ind w:left="5812" w:hanging="360"/>
      </w:pPr>
      <w:rPr>
        <w:rFonts w:ascii="Courier New" w:hAnsi="Courier New" w:hint="default"/>
      </w:rPr>
    </w:lvl>
    <w:lvl w:ilvl="8" w:tplc="040E0005" w:tentative="1">
      <w:start w:val="1"/>
      <w:numFmt w:val="bullet"/>
      <w:lvlText w:val=""/>
      <w:lvlJc w:val="left"/>
      <w:pPr>
        <w:ind w:left="6532" w:hanging="360"/>
      </w:pPr>
      <w:rPr>
        <w:rFonts w:ascii="Wingdings" w:hAnsi="Wingdings" w:hint="default"/>
      </w:rPr>
    </w:lvl>
  </w:abstractNum>
  <w:abstractNum w:abstractNumId="20" w15:restartNumberingAfterBreak="0">
    <w:nsid w:val="6D3252F8"/>
    <w:multiLevelType w:val="hybridMultilevel"/>
    <w:tmpl w:val="8D7EBD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D605051"/>
    <w:multiLevelType w:val="hybridMultilevel"/>
    <w:tmpl w:val="CED43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9381DFE"/>
    <w:multiLevelType w:val="hybridMultilevel"/>
    <w:tmpl w:val="A520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CFD5452"/>
    <w:multiLevelType w:val="hybridMultilevel"/>
    <w:tmpl w:val="44E211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D822C84"/>
    <w:multiLevelType w:val="multilevel"/>
    <w:tmpl w:val="1174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CE07AA"/>
    <w:multiLevelType w:val="hybridMultilevel"/>
    <w:tmpl w:val="7DDE2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20"/>
  </w:num>
  <w:num w:numId="8">
    <w:abstractNumId w:val="0"/>
  </w:num>
  <w:num w:numId="9">
    <w:abstractNumId w:val="16"/>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12"/>
  </w:num>
  <w:num w:numId="15">
    <w:abstractNumId w:val="2"/>
  </w:num>
  <w:num w:numId="16">
    <w:abstractNumId w:val="23"/>
  </w:num>
  <w:num w:numId="17">
    <w:abstractNumId w:val="7"/>
  </w:num>
  <w:num w:numId="18">
    <w:abstractNumId w:val="13"/>
  </w:num>
  <w:num w:numId="19">
    <w:abstractNumId w:val="19"/>
  </w:num>
  <w:num w:numId="20">
    <w:abstractNumId w:val="3"/>
  </w:num>
  <w:num w:numId="21">
    <w:abstractNumId w:val="9"/>
  </w:num>
  <w:num w:numId="22">
    <w:abstractNumId w:val="1"/>
  </w:num>
  <w:num w:numId="23">
    <w:abstractNumId w:val="4"/>
  </w:num>
  <w:num w:numId="24">
    <w:abstractNumId w:val="18"/>
  </w:num>
  <w:num w:numId="25">
    <w:abstractNumId w:val="25"/>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82"/>
    <w:rsid w:val="00004C0F"/>
    <w:rsid w:val="000057D5"/>
    <w:rsid w:val="00005C74"/>
    <w:rsid w:val="000066E1"/>
    <w:rsid w:val="00007A9E"/>
    <w:rsid w:val="00007B6E"/>
    <w:rsid w:val="00016CE6"/>
    <w:rsid w:val="00034714"/>
    <w:rsid w:val="00041164"/>
    <w:rsid w:val="00050E42"/>
    <w:rsid w:val="000673FD"/>
    <w:rsid w:val="00075589"/>
    <w:rsid w:val="0008180A"/>
    <w:rsid w:val="00097EA3"/>
    <w:rsid w:val="000B078B"/>
    <w:rsid w:val="000C1C91"/>
    <w:rsid w:val="000C63A0"/>
    <w:rsid w:val="000D79B7"/>
    <w:rsid w:val="0011190F"/>
    <w:rsid w:val="00112F17"/>
    <w:rsid w:val="001139E6"/>
    <w:rsid w:val="00120FA7"/>
    <w:rsid w:val="00136A02"/>
    <w:rsid w:val="00136E44"/>
    <w:rsid w:val="00137730"/>
    <w:rsid w:val="00150063"/>
    <w:rsid w:val="00150184"/>
    <w:rsid w:val="00162065"/>
    <w:rsid w:val="00166235"/>
    <w:rsid w:val="0016736C"/>
    <w:rsid w:val="00170176"/>
    <w:rsid w:val="00183C29"/>
    <w:rsid w:val="0018722C"/>
    <w:rsid w:val="00195C54"/>
    <w:rsid w:val="001A3C8C"/>
    <w:rsid w:val="001C1946"/>
    <w:rsid w:val="001C3140"/>
    <w:rsid w:val="001D22E4"/>
    <w:rsid w:val="001D6CE4"/>
    <w:rsid w:val="001D7D36"/>
    <w:rsid w:val="001F69EE"/>
    <w:rsid w:val="00207D0E"/>
    <w:rsid w:val="00217D2A"/>
    <w:rsid w:val="00244492"/>
    <w:rsid w:val="002677E2"/>
    <w:rsid w:val="002711CC"/>
    <w:rsid w:val="00275BB0"/>
    <w:rsid w:val="002911EF"/>
    <w:rsid w:val="00293C27"/>
    <w:rsid w:val="00295816"/>
    <w:rsid w:val="002A7C74"/>
    <w:rsid w:val="002D5695"/>
    <w:rsid w:val="002E19BE"/>
    <w:rsid w:val="002F304A"/>
    <w:rsid w:val="00315587"/>
    <w:rsid w:val="0032795F"/>
    <w:rsid w:val="00332A5E"/>
    <w:rsid w:val="0033728D"/>
    <w:rsid w:val="003502AA"/>
    <w:rsid w:val="00353574"/>
    <w:rsid w:val="00363DF8"/>
    <w:rsid w:val="003653EC"/>
    <w:rsid w:val="00374D52"/>
    <w:rsid w:val="003900B4"/>
    <w:rsid w:val="003B3E71"/>
    <w:rsid w:val="003B68FD"/>
    <w:rsid w:val="003D12CC"/>
    <w:rsid w:val="0042076A"/>
    <w:rsid w:val="0042530D"/>
    <w:rsid w:val="00427983"/>
    <w:rsid w:val="00435751"/>
    <w:rsid w:val="00436AC2"/>
    <w:rsid w:val="0044672E"/>
    <w:rsid w:val="00447B7B"/>
    <w:rsid w:val="00453214"/>
    <w:rsid w:val="00454742"/>
    <w:rsid w:val="00457075"/>
    <w:rsid w:val="004632B1"/>
    <w:rsid w:val="00467D44"/>
    <w:rsid w:val="00481981"/>
    <w:rsid w:val="004826B0"/>
    <w:rsid w:val="00486377"/>
    <w:rsid w:val="004A5B3D"/>
    <w:rsid w:val="004B0005"/>
    <w:rsid w:val="00503218"/>
    <w:rsid w:val="005077C3"/>
    <w:rsid w:val="005126CE"/>
    <w:rsid w:val="005411AC"/>
    <w:rsid w:val="005513B4"/>
    <w:rsid w:val="00564A66"/>
    <w:rsid w:val="0057374F"/>
    <w:rsid w:val="00595824"/>
    <w:rsid w:val="005B42AD"/>
    <w:rsid w:val="005D0569"/>
    <w:rsid w:val="005E3415"/>
    <w:rsid w:val="005F0955"/>
    <w:rsid w:val="005F31F1"/>
    <w:rsid w:val="005F4893"/>
    <w:rsid w:val="00607D5A"/>
    <w:rsid w:val="006128D0"/>
    <w:rsid w:val="00634A4A"/>
    <w:rsid w:val="00641BEC"/>
    <w:rsid w:val="00664FBB"/>
    <w:rsid w:val="006773DB"/>
    <w:rsid w:val="006778E5"/>
    <w:rsid w:val="00684E46"/>
    <w:rsid w:val="00694443"/>
    <w:rsid w:val="006A3334"/>
    <w:rsid w:val="006A64ED"/>
    <w:rsid w:val="006A6B1F"/>
    <w:rsid w:val="006B2000"/>
    <w:rsid w:val="006B7F7B"/>
    <w:rsid w:val="006D379F"/>
    <w:rsid w:val="006E4D73"/>
    <w:rsid w:val="006F4627"/>
    <w:rsid w:val="006F6AEC"/>
    <w:rsid w:val="00705BA3"/>
    <w:rsid w:val="0071694B"/>
    <w:rsid w:val="00730F53"/>
    <w:rsid w:val="00743214"/>
    <w:rsid w:val="00785061"/>
    <w:rsid w:val="007872AF"/>
    <w:rsid w:val="007930A8"/>
    <w:rsid w:val="007A547D"/>
    <w:rsid w:val="007B5C3A"/>
    <w:rsid w:val="007C22F2"/>
    <w:rsid w:val="007C465E"/>
    <w:rsid w:val="007D2601"/>
    <w:rsid w:val="007D34B5"/>
    <w:rsid w:val="007E1A14"/>
    <w:rsid w:val="007E4AD3"/>
    <w:rsid w:val="007E523A"/>
    <w:rsid w:val="007F5163"/>
    <w:rsid w:val="007F5C55"/>
    <w:rsid w:val="007F7ABB"/>
    <w:rsid w:val="008044E9"/>
    <w:rsid w:val="00807BC9"/>
    <w:rsid w:val="00821528"/>
    <w:rsid w:val="00827725"/>
    <w:rsid w:val="008535E2"/>
    <w:rsid w:val="0085515E"/>
    <w:rsid w:val="00867353"/>
    <w:rsid w:val="0087299C"/>
    <w:rsid w:val="008B108F"/>
    <w:rsid w:val="008C2E17"/>
    <w:rsid w:val="008C5C54"/>
    <w:rsid w:val="008E025D"/>
    <w:rsid w:val="008E2DEE"/>
    <w:rsid w:val="00924032"/>
    <w:rsid w:val="0093124D"/>
    <w:rsid w:val="00945A02"/>
    <w:rsid w:val="009514EB"/>
    <w:rsid w:val="0095163D"/>
    <w:rsid w:val="00996DEC"/>
    <w:rsid w:val="009A10A0"/>
    <w:rsid w:val="009A19C8"/>
    <w:rsid w:val="009B43D4"/>
    <w:rsid w:val="009D47FE"/>
    <w:rsid w:val="009D7693"/>
    <w:rsid w:val="009F57E6"/>
    <w:rsid w:val="00A006C7"/>
    <w:rsid w:val="00A05154"/>
    <w:rsid w:val="00A1772A"/>
    <w:rsid w:val="00A34B02"/>
    <w:rsid w:val="00A35FBC"/>
    <w:rsid w:val="00A45E4E"/>
    <w:rsid w:val="00A55107"/>
    <w:rsid w:val="00A5576E"/>
    <w:rsid w:val="00A67E99"/>
    <w:rsid w:val="00A70077"/>
    <w:rsid w:val="00A7488A"/>
    <w:rsid w:val="00A748D7"/>
    <w:rsid w:val="00A84B56"/>
    <w:rsid w:val="00A84C54"/>
    <w:rsid w:val="00A85B1D"/>
    <w:rsid w:val="00AB53EB"/>
    <w:rsid w:val="00AB6398"/>
    <w:rsid w:val="00AC2A61"/>
    <w:rsid w:val="00AF1AEA"/>
    <w:rsid w:val="00AF5682"/>
    <w:rsid w:val="00B2312E"/>
    <w:rsid w:val="00B24EC3"/>
    <w:rsid w:val="00B2627E"/>
    <w:rsid w:val="00B47E0C"/>
    <w:rsid w:val="00B56ABB"/>
    <w:rsid w:val="00B64820"/>
    <w:rsid w:val="00B74240"/>
    <w:rsid w:val="00B76E66"/>
    <w:rsid w:val="00B872C7"/>
    <w:rsid w:val="00B96EEB"/>
    <w:rsid w:val="00BB5CCA"/>
    <w:rsid w:val="00BB7E54"/>
    <w:rsid w:val="00BC581C"/>
    <w:rsid w:val="00BE1F0B"/>
    <w:rsid w:val="00BE6F21"/>
    <w:rsid w:val="00BE7D10"/>
    <w:rsid w:val="00C122C4"/>
    <w:rsid w:val="00C274B4"/>
    <w:rsid w:val="00C439BE"/>
    <w:rsid w:val="00C47C56"/>
    <w:rsid w:val="00C61645"/>
    <w:rsid w:val="00C720C3"/>
    <w:rsid w:val="00C905AB"/>
    <w:rsid w:val="00C95F35"/>
    <w:rsid w:val="00CB1F92"/>
    <w:rsid w:val="00CD20B2"/>
    <w:rsid w:val="00CD71F8"/>
    <w:rsid w:val="00CF68EF"/>
    <w:rsid w:val="00D04E5E"/>
    <w:rsid w:val="00D12DEB"/>
    <w:rsid w:val="00D13EA3"/>
    <w:rsid w:val="00D21C93"/>
    <w:rsid w:val="00D22D6B"/>
    <w:rsid w:val="00D3507D"/>
    <w:rsid w:val="00D45D0F"/>
    <w:rsid w:val="00D45DAF"/>
    <w:rsid w:val="00D50F84"/>
    <w:rsid w:val="00D602B8"/>
    <w:rsid w:val="00D65BD6"/>
    <w:rsid w:val="00D67977"/>
    <w:rsid w:val="00DA09C8"/>
    <w:rsid w:val="00DB2843"/>
    <w:rsid w:val="00DC493B"/>
    <w:rsid w:val="00DD5E5D"/>
    <w:rsid w:val="00DD76C8"/>
    <w:rsid w:val="00DE3930"/>
    <w:rsid w:val="00DF7FB6"/>
    <w:rsid w:val="00E00594"/>
    <w:rsid w:val="00E03D81"/>
    <w:rsid w:val="00E136BF"/>
    <w:rsid w:val="00E21CAD"/>
    <w:rsid w:val="00E27D5C"/>
    <w:rsid w:val="00E63B1E"/>
    <w:rsid w:val="00E71403"/>
    <w:rsid w:val="00E7181A"/>
    <w:rsid w:val="00E74599"/>
    <w:rsid w:val="00E77782"/>
    <w:rsid w:val="00E77A80"/>
    <w:rsid w:val="00E84C45"/>
    <w:rsid w:val="00E866DF"/>
    <w:rsid w:val="00EB1D5F"/>
    <w:rsid w:val="00EB766E"/>
    <w:rsid w:val="00EC286D"/>
    <w:rsid w:val="00EC2A1A"/>
    <w:rsid w:val="00ED562A"/>
    <w:rsid w:val="00EE2621"/>
    <w:rsid w:val="00EE7FC1"/>
    <w:rsid w:val="00EF7B1D"/>
    <w:rsid w:val="00F0302D"/>
    <w:rsid w:val="00F033F7"/>
    <w:rsid w:val="00F1073C"/>
    <w:rsid w:val="00F241B9"/>
    <w:rsid w:val="00F265C2"/>
    <w:rsid w:val="00F4689C"/>
    <w:rsid w:val="00F65ACE"/>
    <w:rsid w:val="00F76F53"/>
    <w:rsid w:val="00F815A4"/>
    <w:rsid w:val="00F841B2"/>
    <w:rsid w:val="00F9711E"/>
    <w:rsid w:val="00FA0EE7"/>
    <w:rsid w:val="00FD078F"/>
    <w:rsid w:val="00FD11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842A"/>
  <w15:chartTrackingRefBased/>
  <w15:docId w15:val="{F7945FB5-1ACC-2F43-BCC4-DE202719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C3140"/>
    <w:pPr>
      <w:spacing w:after="200" w:line="276" w:lineRule="auto"/>
      <w:jc w:val="both"/>
    </w:pPr>
    <w:rPr>
      <w:rFonts w:asciiTheme="majorHAnsi" w:eastAsiaTheme="majorEastAsia" w:hAnsiTheme="majorHAnsi" w:cstheme="majorBidi"/>
      <w:sz w:val="22"/>
      <w:szCs w:val="22"/>
    </w:rPr>
  </w:style>
  <w:style w:type="paragraph" w:styleId="Cmsor1">
    <w:name w:val="heading 1"/>
    <w:basedOn w:val="Norml"/>
    <w:next w:val="Norml"/>
    <w:link w:val="Cmsor1Char"/>
    <w:uiPriority w:val="9"/>
    <w:qFormat/>
    <w:rsid w:val="00503218"/>
    <w:pPr>
      <w:spacing w:before="480" w:after="0"/>
      <w:contextualSpacing/>
      <w:outlineLvl w:val="0"/>
    </w:pPr>
    <w:rPr>
      <w:smallCaps/>
      <w:spacing w:val="5"/>
      <w:sz w:val="36"/>
      <w:szCs w:val="36"/>
    </w:rPr>
  </w:style>
  <w:style w:type="paragraph" w:styleId="Cmsor2">
    <w:name w:val="heading 2"/>
    <w:basedOn w:val="Norml"/>
    <w:next w:val="Norml"/>
    <w:link w:val="Cmsor2Char"/>
    <w:qFormat/>
    <w:rsid w:val="00B2627E"/>
    <w:pPr>
      <w:keepNext/>
      <w:keepLines/>
      <w:pBdr>
        <w:bottom w:val="single" w:sz="6" w:space="1" w:color="auto"/>
      </w:pBdr>
      <w:spacing w:before="200" w:after="120"/>
      <w:outlineLvl w:val="1"/>
    </w:pPr>
    <w:rPr>
      <w:rFonts w:asciiTheme="minorHAnsi" w:hAnsiTheme="minorHAnsi" w:cs="Times New Roman (Címsorok, komp"/>
      <w:b/>
      <w:bCs/>
      <w:noProof/>
      <w:sz w:val="24"/>
      <w:szCs w:val="26"/>
    </w:rPr>
  </w:style>
  <w:style w:type="paragraph" w:styleId="Cmsor3">
    <w:name w:val="heading 3"/>
    <w:basedOn w:val="Norml"/>
    <w:next w:val="Norml"/>
    <w:link w:val="Cmsor3Char"/>
    <w:uiPriority w:val="9"/>
    <w:unhideWhenUsed/>
    <w:qFormat/>
    <w:rsid w:val="009D47FE"/>
    <w:pPr>
      <w:keepNext/>
      <w:keepLines/>
      <w:spacing w:before="40" w:after="0"/>
      <w:outlineLvl w:val="2"/>
    </w:pPr>
    <w:rPr>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Jelentsalcm">
    <w:name w:val="Jelentés alcím"/>
    <w:basedOn w:val="Norml"/>
    <w:link w:val="JelentsalcmChar"/>
    <w:qFormat/>
    <w:rsid w:val="005B42AD"/>
    <w:pPr>
      <w:keepNext/>
      <w:keepLines/>
      <w:tabs>
        <w:tab w:val="num" w:pos="1440"/>
      </w:tabs>
      <w:spacing w:before="240" w:after="120"/>
      <w:ind w:left="720" w:hanging="720"/>
      <w:outlineLvl w:val="1"/>
    </w:pPr>
    <w:rPr>
      <w:rFonts w:ascii="Bai Jamjuree Regular" w:hAnsi="Bai Jamjuree Regular"/>
      <w:bCs/>
      <w:color w:val="7F7F7F" w:themeColor="text1" w:themeTint="80"/>
      <w:sz w:val="40"/>
      <w:szCs w:val="26"/>
    </w:rPr>
  </w:style>
  <w:style w:type="character" w:customStyle="1" w:styleId="JelentsalcmChar">
    <w:name w:val="Jelentés alcím Char"/>
    <w:basedOn w:val="Bekezdsalapbettpusa"/>
    <w:link w:val="Jelentsalcm"/>
    <w:qFormat/>
    <w:rsid w:val="005B42AD"/>
    <w:rPr>
      <w:rFonts w:ascii="Bai Jamjuree Regular" w:eastAsiaTheme="majorEastAsia" w:hAnsi="Bai Jamjuree Regular" w:cstheme="majorBidi"/>
      <w:bCs/>
      <w:color w:val="7F7F7F" w:themeColor="text1" w:themeTint="80"/>
      <w:sz w:val="40"/>
      <w:szCs w:val="26"/>
    </w:rPr>
  </w:style>
  <w:style w:type="character" w:customStyle="1" w:styleId="Cmsor2Char">
    <w:name w:val="Címsor 2 Char"/>
    <w:basedOn w:val="Bekezdsalapbettpusa"/>
    <w:link w:val="Cmsor2"/>
    <w:rsid w:val="00B2627E"/>
    <w:rPr>
      <w:rFonts w:eastAsiaTheme="majorEastAsia" w:cs="Times New Roman (Címsorok, komp"/>
      <w:b/>
      <w:bCs/>
      <w:noProof/>
      <w:szCs w:val="26"/>
    </w:rPr>
  </w:style>
  <w:style w:type="character" w:customStyle="1" w:styleId="Cmsor1Char">
    <w:name w:val="Címsor 1 Char"/>
    <w:basedOn w:val="Bekezdsalapbettpusa"/>
    <w:link w:val="Cmsor1"/>
    <w:uiPriority w:val="9"/>
    <w:rsid w:val="00503218"/>
    <w:rPr>
      <w:rFonts w:asciiTheme="majorHAnsi" w:eastAsiaTheme="majorEastAsia" w:hAnsiTheme="majorHAnsi" w:cstheme="majorBidi"/>
      <w:smallCaps/>
      <w:spacing w:val="5"/>
      <w:sz w:val="36"/>
      <w:szCs w:val="36"/>
    </w:rPr>
  </w:style>
  <w:style w:type="paragraph" w:customStyle="1" w:styleId="p1">
    <w:name w:val="p1"/>
    <w:basedOn w:val="Norml"/>
    <w:rsid w:val="00503218"/>
    <w:pPr>
      <w:spacing w:before="100" w:beforeAutospacing="1" w:after="100" w:afterAutospacing="1"/>
    </w:pPr>
    <w:rPr>
      <w:rFonts w:ascii="Times New Roman" w:eastAsia="Times New Roman" w:hAnsi="Times New Roman" w:cs="Times New Roman"/>
      <w:lang w:eastAsia="hu-HU"/>
    </w:rPr>
  </w:style>
  <w:style w:type="paragraph" w:customStyle="1" w:styleId="TableText">
    <w:name w:val="Table Text"/>
    <w:basedOn w:val="Norml"/>
    <w:uiPriority w:val="99"/>
    <w:rsid w:val="00503218"/>
    <w:pPr>
      <w:keepLines/>
      <w:spacing w:after="0" w:line="240" w:lineRule="auto"/>
    </w:pPr>
    <w:rPr>
      <w:rFonts w:ascii="Book Antiqua" w:eastAsia="Times New Roman" w:hAnsi="Book Antiqua" w:cs="Times New Roman"/>
      <w:sz w:val="20"/>
      <w:szCs w:val="20"/>
      <w:lang w:val="en-US" w:eastAsia="th-TH" w:bidi="th-TH"/>
    </w:rPr>
  </w:style>
  <w:style w:type="paragraph" w:styleId="Listaszerbekezds">
    <w:name w:val="List Paragraph"/>
    <w:aliases w:val="Welt L,Bullet_1,Számozott lista 1,Eszeri felsorolás,List Paragraph à moi,lista_2,Lista1,Színes lista – 1. jelölőszín1,Listaszerű bekezdés1,Listaszerű bekezdés3,Bullet List,FooterText,numbered,Paragraphe de liste1,列出段落"/>
    <w:basedOn w:val="Norml"/>
    <w:link w:val="ListaszerbekezdsChar"/>
    <w:uiPriority w:val="34"/>
    <w:qFormat/>
    <w:rsid w:val="00503218"/>
    <w:pPr>
      <w:ind w:left="720"/>
      <w:contextualSpacing/>
    </w:pPr>
  </w:style>
  <w:style w:type="character" w:customStyle="1" w:styleId="ListaszerbekezdsChar">
    <w:name w:val="Listaszerű bekezdés Char"/>
    <w:aliases w:val="Welt L Char,Bullet_1 Char,Számozott lista 1 Char,Eszeri felsorolás Char,List Paragraph à moi Char,lista_2 Char,Lista1 Char,Színes lista – 1. jelölőszín1 Char,Listaszerű bekezdés1 Char,Listaszerű bekezdés3 Char,Bullet List Char"/>
    <w:link w:val="Listaszerbekezds"/>
    <w:uiPriority w:val="34"/>
    <w:qFormat/>
    <w:locked/>
    <w:rsid w:val="00503218"/>
    <w:rPr>
      <w:rFonts w:asciiTheme="majorHAnsi" w:eastAsiaTheme="majorEastAsia" w:hAnsiTheme="majorHAnsi" w:cstheme="majorBidi"/>
      <w:sz w:val="22"/>
      <w:szCs w:val="22"/>
    </w:rPr>
  </w:style>
  <w:style w:type="table" w:styleId="Rcsostblzat">
    <w:name w:val="Table Grid"/>
    <w:basedOn w:val="Normltblzat"/>
    <w:uiPriority w:val="59"/>
    <w:rsid w:val="00503218"/>
    <w:rPr>
      <w:rFonts w:asciiTheme="majorHAnsi" w:eastAsiaTheme="majorEastAsia" w:hAnsiTheme="majorHAnsi" w:cstheme="maj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J1">
    <w:name w:val="toc 1"/>
    <w:basedOn w:val="Norml"/>
    <w:next w:val="Norml"/>
    <w:autoRedefine/>
    <w:uiPriority w:val="39"/>
    <w:unhideWhenUsed/>
    <w:rsid w:val="001C1946"/>
    <w:pPr>
      <w:tabs>
        <w:tab w:val="right" w:leader="dot" w:pos="9062"/>
      </w:tabs>
      <w:spacing w:after="100"/>
    </w:pPr>
  </w:style>
  <w:style w:type="paragraph" w:styleId="TJ2">
    <w:name w:val="toc 2"/>
    <w:basedOn w:val="Norml"/>
    <w:next w:val="Norml"/>
    <w:autoRedefine/>
    <w:uiPriority w:val="39"/>
    <w:unhideWhenUsed/>
    <w:rsid w:val="00503218"/>
    <w:pPr>
      <w:spacing w:after="100"/>
      <w:ind w:left="220"/>
    </w:pPr>
  </w:style>
  <w:style w:type="paragraph" w:styleId="TJ3">
    <w:name w:val="toc 3"/>
    <w:basedOn w:val="Norml"/>
    <w:next w:val="Norml"/>
    <w:autoRedefine/>
    <w:uiPriority w:val="39"/>
    <w:unhideWhenUsed/>
    <w:rsid w:val="00503218"/>
    <w:pPr>
      <w:spacing w:after="100"/>
      <w:ind w:left="440"/>
    </w:pPr>
  </w:style>
  <w:style w:type="character" w:customStyle="1" w:styleId="tlid-translation">
    <w:name w:val="tlid-translation"/>
    <w:basedOn w:val="Bekezdsalapbettpusa"/>
    <w:rsid w:val="00C95F35"/>
  </w:style>
  <w:style w:type="character" w:customStyle="1" w:styleId="Cmsor3Char">
    <w:name w:val="Címsor 3 Char"/>
    <w:basedOn w:val="Bekezdsalapbettpusa"/>
    <w:link w:val="Cmsor3"/>
    <w:uiPriority w:val="9"/>
    <w:rsid w:val="009D47FE"/>
    <w:rPr>
      <w:rFonts w:asciiTheme="majorHAnsi" w:eastAsiaTheme="majorEastAsia" w:hAnsiTheme="majorHAnsi" w:cstheme="majorBidi"/>
      <w:color w:val="1F3763" w:themeColor="accent1" w:themeShade="7F"/>
    </w:rPr>
  </w:style>
  <w:style w:type="paragraph" w:styleId="Lbjegyzetszveg">
    <w:name w:val="footnote text"/>
    <w:basedOn w:val="Norml"/>
    <w:link w:val="LbjegyzetszvegChar"/>
    <w:uiPriority w:val="99"/>
    <w:semiHidden/>
    <w:unhideWhenUsed/>
    <w:rsid w:val="009D47F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D47FE"/>
    <w:rPr>
      <w:rFonts w:asciiTheme="majorHAnsi" w:eastAsiaTheme="majorEastAsia" w:hAnsiTheme="majorHAnsi" w:cstheme="majorBidi"/>
      <w:sz w:val="20"/>
      <w:szCs w:val="20"/>
    </w:rPr>
  </w:style>
  <w:style w:type="character" w:styleId="Lbjegyzet-hivatkozs">
    <w:name w:val="footnote reference"/>
    <w:basedOn w:val="Bekezdsalapbettpusa"/>
    <w:uiPriority w:val="99"/>
    <w:semiHidden/>
    <w:unhideWhenUsed/>
    <w:rsid w:val="009D47FE"/>
    <w:rPr>
      <w:vertAlign w:val="superscript"/>
    </w:rPr>
  </w:style>
  <w:style w:type="numbering" w:customStyle="1" w:styleId="Aktulislista1">
    <w:name w:val="Aktuális lista1"/>
    <w:uiPriority w:val="99"/>
    <w:rsid w:val="00B2627E"/>
    <w:pPr>
      <w:numPr>
        <w:numId w:val="24"/>
      </w:numPr>
    </w:pPr>
  </w:style>
  <w:style w:type="paragraph" w:styleId="NormlWeb">
    <w:name w:val="Normal (Web)"/>
    <w:basedOn w:val="Norml"/>
    <w:uiPriority w:val="99"/>
    <w:semiHidden/>
    <w:unhideWhenUsed/>
    <w:rsid w:val="00E74599"/>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Vltozat">
    <w:name w:val="Revision"/>
    <w:hidden/>
    <w:uiPriority w:val="99"/>
    <w:semiHidden/>
    <w:rsid w:val="00B96EEB"/>
    <w:rPr>
      <w:rFonts w:asciiTheme="majorHAnsi" w:eastAsiaTheme="majorEastAsia" w:hAnsiTheme="majorHAnsi" w:cstheme="majorBidi"/>
      <w:sz w:val="22"/>
      <w:szCs w:val="22"/>
    </w:rPr>
  </w:style>
  <w:style w:type="paragraph" w:styleId="lfej">
    <w:name w:val="header"/>
    <w:basedOn w:val="Norml"/>
    <w:link w:val="lfejChar"/>
    <w:uiPriority w:val="99"/>
    <w:unhideWhenUsed/>
    <w:rsid w:val="00BC581C"/>
    <w:pPr>
      <w:tabs>
        <w:tab w:val="center" w:pos="4536"/>
        <w:tab w:val="right" w:pos="9072"/>
      </w:tabs>
      <w:spacing w:after="0" w:line="240" w:lineRule="auto"/>
    </w:pPr>
  </w:style>
  <w:style w:type="character" w:customStyle="1" w:styleId="lfejChar">
    <w:name w:val="Élőfej Char"/>
    <w:basedOn w:val="Bekezdsalapbettpusa"/>
    <w:link w:val="lfej"/>
    <w:uiPriority w:val="99"/>
    <w:rsid w:val="00BC581C"/>
    <w:rPr>
      <w:rFonts w:asciiTheme="majorHAnsi" w:eastAsiaTheme="majorEastAsia" w:hAnsiTheme="majorHAnsi" w:cstheme="majorBidi"/>
      <w:sz w:val="22"/>
      <w:szCs w:val="22"/>
    </w:rPr>
  </w:style>
  <w:style w:type="paragraph" w:styleId="llb">
    <w:name w:val="footer"/>
    <w:basedOn w:val="Norml"/>
    <w:link w:val="llbChar"/>
    <w:uiPriority w:val="99"/>
    <w:unhideWhenUsed/>
    <w:rsid w:val="00BC581C"/>
    <w:pPr>
      <w:tabs>
        <w:tab w:val="center" w:pos="4536"/>
        <w:tab w:val="right" w:pos="9072"/>
      </w:tabs>
      <w:spacing w:after="0" w:line="240" w:lineRule="auto"/>
    </w:pPr>
  </w:style>
  <w:style w:type="character" w:customStyle="1" w:styleId="llbChar">
    <w:name w:val="Élőláb Char"/>
    <w:basedOn w:val="Bekezdsalapbettpusa"/>
    <w:link w:val="llb"/>
    <w:uiPriority w:val="99"/>
    <w:rsid w:val="00BC581C"/>
    <w:rPr>
      <w:rFonts w:asciiTheme="majorHAnsi" w:eastAsiaTheme="majorEastAsia" w:hAnsiTheme="majorHAnsi" w:cstheme="majorBidi"/>
      <w:sz w:val="22"/>
      <w:szCs w:val="22"/>
    </w:rPr>
  </w:style>
  <w:style w:type="paragraph" w:styleId="Buborkszveg">
    <w:name w:val="Balloon Text"/>
    <w:basedOn w:val="Norml"/>
    <w:link w:val="BuborkszvegChar"/>
    <w:uiPriority w:val="99"/>
    <w:semiHidden/>
    <w:unhideWhenUsed/>
    <w:rsid w:val="00436AC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36AC2"/>
    <w:rPr>
      <w:rFonts w:ascii="Segoe UI" w:eastAsiaTheme="majorEastAsia" w:hAnsi="Segoe UI" w:cs="Segoe UI"/>
      <w:sz w:val="18"/>
      <w:szCs w:val="18"/>
    </w:rPr>
  </w:style>
  <w:style w:type="paragraph" w:customStyle="1" w:styleId="uj">
    <w:name w:val="uj"/>
    <w:basedOn w:val="Norml"/>
    <w:rsid w:val="00564A66"/>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56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8978">
      <w:bodyDiv w:val="1"/>
      <w:marLeft w:val="0"/>
      <w:marRight w:val="0"/>
      <w:marTop w:val="0"/>
      <w:marBottom w:val="0"/>
      <w:divBdr>
        <w:top w:val="none" w:sz="0" w:space="0" w:color="auto"/>
        <w:left w:val="none" w:sz="0" w:space="0" w:color="auto"/>
        <w:bottom w:val="none" w:sz="0" w:space="0" w:color="auto"/>
        <w:right w:val="none" w:sz="0" w:space="0" w:color="auto"/>
      </w:divBdr>
    </w:div>
    <w:div w:id="72513663">
      <w:bodyDiv w:val="1"/>
      <w:marLeft w:val="0"/>
      <w:marRight w:val="0"/>
      <w:marTop w:val="0"/>
      <w:marBottom w:val="0"/>
      <w:divBdr>
        <w:top w:val="none" w:sz="0" w:space="0" w:color="auto"/>
        <w:left w:val="none" w:sz="0" w:space="0" w:color="auto"/>
        <w:bottom w:val="none" w:sz="0" w:space="0" w:color="auto"/>
        <w:right w:val="none" w:sz="0" w:space="0" w:color="auto"/>
      </w:divBdr>
    </w:div>
    <w:div w:id="150022554">
      <w:bodyDiv w:val="1"/>
      <w:marLeft w:val="0"/>
      <w:marRight w:val="0"/>
      <w:marTop w:val="0"/>
      <w:marBottom w:val="0"/>
      <w:divBdr>
        <w:top w:val="none" w:sz="0" w:space="0" w:color="auto"/>
        <w:left w:val="none" w:sz="0" w:space="0" w:color="auto"/>
        <w:bottom w:val="none" w:sz="0" w:space="0" w:color="auto"/>
        <w:right w:val="none" w:sz="0" w:space="0" w:color="auto"/>
      </w:divBdr>
      <w:divsChild>
        <w:div w:id="1457872653">
          <w:marLeft w:val="0"/>
          <w:marRight w:val="0"/>
          <w:marTop w:val="0"/>
          <w:marBottom w:val="0"/>
          <w:divBdr>
            <w:top w:val="none" w:sz="0" w:space="0" w:color="auto"/>
            <w:left w:val="none" w:sz="0" w:space="0" w:color="auto"/>
            <w:bottom w:val="none" w:sz="0" w:space="0" w:color="auto"/>
            <w:right w:val="none" w:sz="0" w:space="0" w:color="auto"/>
          </w:divBdr>
          <w:divsChild>
            <w:div w:id="1008144717">
              <w:marLeft w:val="0"/>
              <w:marRight w:val="0"/>
              <w:marTop w:val="0"/>
              <w:marBottom w:val="0"/>
              <w:divBdr>
                <w:top w:val="none" w:sz="0" w:space="0" w:color="auto"/>
                <w:left w:val="none" w:sz="0" w:space="0" w:color="auto"/>
                <w:bottom w:val="none" w:sz="0" w:space="0" w:color="auto"/>
                <w:right w:val="none" w:sz="0" w:space="0" w:color="auto"/>
              </w:divBdr>
              <w:divsChild>
                <w:div w:id="1520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889">
      <w:bodyDiv w:val="1"/>
      <w:marLeft w:val="0"/>
      <w:marRight w:val="0"/>
      <w:marTop w:val="0"/>
      <w:marBottom w:val="0"/>
      <w:divBdr>
        <w:top w:val="none" w:sz="0" w:space="0" w:color="auto"/>
        <w:left w:val="none" w:sz="0" w:space="0" w:color="auto"/>
        <w:bottom w:val="none" w:sz="0" w:space="0" w:color="auto"/>
        <w:right w:val="none" w:sz="0" w:space="0" w:color="auto"/>
      </w:divBdr>
      <w:divsChild>
        <w:div w:id="1871718840">
          <w:marLeft w:val="0"/>
          <w:marRight w:val="0"/>
          <w:marTop w:val="0"/>
          <w:marBottom w:val="0"/>
          <w:divBdr>
            <w:top w:val="none" w:sz="0" w:space="0" w:color="auto"/>
            <w:left w:val="none" w:sz="0" w:space="0" w:color="auto"/>
            <w:bottom w:val="none" w:sz="0" w:space="0" w:color="auto"/>
            <w:right w:val="none" w:sz="0" w:space="0" w:color="auto"/>
          </w:divBdr>
          <w:divsChild>
            <w:div w:id="1506020436">
              <w:marLeft w:val="0"/>
              <w:marRight w:val="0"/>
              <w:marTop w:val="0"/>
              <w:marBottom w:val="0"/>
              <w:divBdr>
                <w:top w:val="none" w:sz="0" w:space="0" w:color="auto"/>
                <w:left w:val="none" w:sz="0" w:space="0" w:color="auto"/>
                <w:bottom w:val="none" w:sz="0" w:space="0" w:color="auto"/>
                <w:right w:val="none" w:sz="0" w:space="0" w:color="auto"/>
              </w:divBdr>
              <w:divsChild>
                <w:div w:id="4348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77113">
      <w:bodyDiv w:val="1"/>
      <w:marLeft w:val="0"/>
      <w:marRight w:val="0"/>
      <w:marTop w:val="0"/>
      <w:marBottom w:val="0"/>
      <w:divBdr>
        <w:top w:val="none" w:sz="0" w:space="0" w:color="auto"/>
        <w:left w:val="none" w:sz="0" w:space="0" w:color="auto"/>
        <w:bottom w:val="none" w:sz="0" w:space="0" w:color="auto"/>
        <w:right w:val="none" w:sz="0" w:space="0" w:color="auto"/>
      </w:divBdr>
      <w:divsChild>
        <w:div w:id="1249584261">
          <w:marLeft w:val="0"/>
          <w:marRight w:val="0"/>
          <w:marTop w:val="0"/>
          <w:marBottom w:val="0"/>
          <w:divBdr>
            <w:top w:val="none" w:sz="0" w:space="0" w:color="auto"/>
            <w:left w:val="none" w:sz="0" w:space="0" w:color="auto"/>
            <w:bottom w:val="none" w:sz="0" w:space="0" w:color="auto"/>
            <w:right w:val="none" w:sz="0" w:space="0" w:color="auto"/>
          </w:divBdr>
          <w:divsChild>
            <w:div w:id="459153876">
              <w:marLeft w:val="0"/>
              <w:marRight w:val="0"/>
              <w:marTop w:val="0"/>
              <w:marBottom w:val="0"/>
              <w:divBdr>
                <w:top w:val="none" w:sz="0" w:space="0" w:color="auto"/>
                <w:left w:val="none" w:sz="0" w:space="0" w:color="auto"/>
                <w:bottom w:val="none" w:sz="0" w:space="0" w:color="auto"/>
                <w:right w:val="none" w:sz="0" w:space="0" w:color="auto"/>
              </w:divBdr>
              <w:divsChild>
                <w:div w:id="19590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7290">
      <w:bodyDiv w:val="1"/>
      <w:marLeft w:val="0"/>
      <w:marRight w:val="0"/>
      <w:marTop w:val="0"/>
      <w:marBottom w:val="0"/>
      <w:divBdr>
        <w:top w:val="none" w:sz="0" w:space="0" w:color="auto"/>
        <w:left w:val="none" w:sz="0" w:space="0" w:color="auto"/>
        <w:bottom w:val="none" w:sz="0" w:space="0" w:color="auto"/>
        <w:right w:val="none" w:sz="0" w:space="0" w:color="auto"/>
      </w:divBdr>
      <w:divsChild>
        <w:div w:id="1229070035">
          <w:marLeft w:val="0"/>
          <w:marRight w:val="0"/>
          <w:marTop w:val="0"/>
          <w:marBottom w:val="0"/>
          <w:divBdr>
            <w:top w:val="none" w:sz="0" w:space="0" w:color="auto"/>
            <w:left w:val="none" w:sz="0" w:space="0" w:color="auto"/>
            <w:bottom w:val="none" w:sz="0" w:space="0" w:color="auto"/>
            <w:right w:val="none" w:sz="0" w:space="0" w:color="auto"/>
          </w:divBdr>
          <w:divsChild>
            <w:div w:id="455220458">
              <w:marLeft w:val="0"/>
              <w:marRight w:val="0"/>
              <w:marTop w:val="0"/>
              <w:marBottom w:val="0"/>
              <w:divBdr>
                <w:top w:val="none" w:sz="0" w:space="0" w:color="auto"/>
                <w:left w:val="none" w:sz="0" w:space="0" w:color="auto"/>
                <w:bottom w:val="none" w:sz="0" w:space="0" w:color="auto"/>
                <w:right w:val="none" w:sz="0" w:space="0" w:color="auto"/>
              </w:divBdr>
              <w:divsChild>
                <w:div w:id="7850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6277">
      <w:bodyDiv w:val="1"/>
      <w:marLeft w:val="0"/>
      <w:marRight w:val="0"/>
      <w:marTop w:val="0"/>
      <w:marBottom w:val="0"/>
      <w:divBdr>
        <w:top w:val="none" w:sz="0" w:space="0" w:color="auto"/>
        <w:left w:val="none" w:sz="0" w:space="0" w:color="auto"/>
        <w:bottom w:val="none" w:sz="0" w:space="0" w:color="auto"/>
        <w:right w:val="none" w:sz="0" w:space="0" w:color="auto"/>
      </w:divBdr>
      <w:divsChild>
        <w:div w:id="951983193">
          <w:marLeft w:val="0"/>
          <w:marRight w:val="0"/>
          <w:marTop w:val="0"/>
          <w:marBottom w:val="0"/>
          <w:divBdr>
            <w:top w:val="none" w:sz="0" w:space="0" w:color="auto"/>
            <w:left w:val="none" w:sz="0" w:space="0" w:color="auto"/>
            <w:bottom w:val="none" w:sz="0" w:space="0" w:color="auto"/>
            <w:right w:val="none" w:sz="0" w:space="0" w:color="auto"/>
          </w:divBdr>
          <w:divsChild>
            <w:div w:id="1111246451">
              <w:marLeft w:val="0"/>
              <w:marRight w:val="0"/>
              <w:marTop w:val="0"/>
              <w:marBottom w:val="0"/>
              <w:divBdr>
                <w:top w:val="none" w:sz="0" w:space="0" w:color="auto"/>
                <w:left w:val="none" w:sz="0" w:space="0" w:color="auto"/>
                <w:bottom w:val="none" w:sz="0" w:space="0" w:color="auto"/>
                <w:right w:val="none" w:sz="0" w:space="0" w:color="auto"/>
              </w:divBdr>
              <w:divsChild>
                <w:div w:id="3191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2641">
      <w:bodyDiv w:val="1"/>
      <w:marLeft w:val="0"/>
      <w:marRight w:val="0"/>
      <w:marTop w:val="0"/>
      <w:marBottom w:val="0"/>
      <w:divBdr>
        <w:top w:val="none" w:sz="0" w:space="0" w:color="auto"/>
        <w:left w:val="none" w:sz="0" w:space="0" w:color="auto"/>
        <w:bottom w:val="none" w:sz="0" w:space="0" w:color="auto"/>
        <w:right w:val="none" w:sz="0" w:space="0" w:color="auto"/>
      </w:divBdr>
      <w:divsChild>
        <w:div w:id="1013414057">
          <w:marLeft w:val="0"/>
          <w:marRight w:val="0"/>
          <w:marTop w:val="0"/>
          <w:marBottom w:val="0"/>
          <w:divBdr>
            <w:top w:val="none" w:sz="0" w:space="0" w:color="auto"/>
            <w:left w:val="none" w:sz="0" w:space="0" w:color="auto"/>
            <w:bottom w:val="none" w:sz="0" w:space="0" w:color="auto"/>
            <w:right w:val="none" w:sz="0" w:space="0" w:color="auto"/>
          </w:divBdr>
          <w:divsChild>
            <w:div w:id="1718551517">
              <w:marLeft w:val="0"/>
              <w:marRight w:val="0"/>
              <w:marTop w:val="0"/>
              <w:marBottom w:val="0"/>
              <w:divBdr>
                <w:top w:val="none" w:sz="0" w:space="0" w:color="auto"/>
                <w:left w:val="none" w:sz="0" w:space="0" w:color="auto"/>
                <w:bottom w:val="none" w:sz="0" w:space="0" w:color="auto"/>
                <w:right w:val="none" w:sz="0" w:space="0" w:color="auto"/>
              </w:divBdr>
              <w:divsChild>
                <w:div w:id="5796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2698">
      <w:bodyDiv w:val="1"/>
      <w:marLeft w:val="0"/>
      <w:marRight w:val="0"/>
      <w:marTop w:val="0"/>
      <w:marBottom w:val="0"/>
      <w:divBdr>
        <w:top w:val="none" w:sz="0" w:space="0" w:color="auto"/>
        <w:left w:val="none" w:sz="0" w:space="0" w:color="auto"/>
        <w:bottom w:val="none" w:sz="0" w:space="0" w:color="auto"/>
        <w:right w:val="none" w:sz="0" w:space="0" w:color="auto"/>
      </w:divBdr>
      <w:divsChild>
        <w:div w:id="1476724540">
          <w:marLeft w:val="0"/>
          <w:marRight w:val="0"/>
          <w:marTop w:val="0"/>
          <w:marBottom w:val="0"/>
          <w:divBdr>
            <w:top w:val="none" w:sz="0" w:space="0" w:color="auto"/>
            <w:left w:val="none" w:sz="0" w:space="0" w:color="auto"/>
            <w:bottom w:val="none" w:sz="0" w:space="0" w:color="auto"/>
            <w:right w:val="none" w:sz="0" w:space="0" w:color="auto"/>
          </w:divBdr>
          <w:divsChild>
            <w:div w:id="485249229">
              <w:marLeft w:val="0"/>
              <w:marRight w:val="0"/>
              <w:marTop w:val="0"/>
              <w:marBottom w:val="0"/>
              <w:divBdr>
                <w:top w:val="none" w:sz="0" w:space="0" w:color="auto"/>
                <w:left w:val="none" w:sz="0" w:space="0" w:color="auto"/>
                <w:bottom w:val="none" w:sz="0" w:space="0" w:color="auto"/>
                <w:right w:val="none" w:sz="0" w:space="0" w:color="auto"/>
              </w:divBdr>
              <w:divsChild>
                <w:div w:id="228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7314">
      <w:bodyDiv w:val="1"/>
      <w:marLeft w:val="0"/>
      <w:marRight w:val="0"/>
      <w:marTop w:val="0"/>
      <w:marBottom w:val="0"/>
      <w:divBdr>
        <w:top w:val="none" w:sz="0" w:space="0" w:color="auto"/>
        <w:left w:val="none" w:sz="0" w:space="0" w:color="auto"/>
        <w:bottom w:val="none" w:sz="0" w:space="0" w:color="auto"/>
        <w:right w:val="none" w:sz="0" w:space="0" w:color="auto"/>
      </w:divBdr>
      <w:divsChild>
        <w:div w:id="175390688">
          <w:marLeft w:val="0"/>
          <w:marRight w:val="0"/>
          <w:marTop w:val="0"/>
          <w:marBottom w:val="0"/>
          <w:divBdr>
            <w:top w:val="none" w:sz="0" w:space="0" w:color="auto"/>
            <w:left w:val="none" w:sz="0" w:space="0" w:color="auto"/>
            <w:bottom w:val="none" w:sz="0" w:space="0" w:color="auto"/>
            <w:right w:val="none" w:sz="0" w:space="0" w:color="auto"/>
          </w:divBdr>
          <w:divsChild>
            <w:div w:id="1668360912">
              <w:marLeft w:val="0"/>
              <w:marRight w:val="0"/>
              <w:marTop w:val="0"/>
              <w:marBottom w:val="0"/>
              <w:divBdr>
                <w:top w:val="none" w:sz="0" w:space="0" w:color="auto"/>
                <w:left w:val="none" w:sz="0" w:space="0" w:color="auto"/>
                <w:bottom w:val="none" w:sz="0" w:space="0" w:color="auto"/>
                <w:right w:val="none" w:sz="0" w:space="0" w:color="auto"/>
              </w:divBdr>
              <w:divsChild>
                <w:div w:id="16774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4892">
      <w:bodyDiv w:val="1"/>
      <w:marLeft w:val="0"/>
      <w:marRight w:val="0"/>
      <w:marTop w:val="0"/>
      <w:marBottom w:val="0"/>
      <w:divBdr>
        <w:top w:val="none" w:sz="0" w:space="0" w:color="auto"/>
        <w:left w:val="none" w:sz="0" w:space="0" w:color="auto"/>
        <w:bottom w:val="none" w:sz="0" w:space="0" w:color="auto"/>
        <w:right w:val="none" w:sz="0" w:space="0" w:color="auto"/>
      </w:divBdr>
    </w:div>
    <w:div w:id="613633694">
      <w:bodyDiv w:val="1"/>
      <w:marLeft w:val="0"/>
      <w:marRight w:val="0"/>
      <w:marTop w:val="0"/>
      <w:marBottom w:val="0"/>
      <w:divBdr>
        <w:top w:val="none" w:sz="0" w:space="0" w:color="auto"/>
        <w:left w:val="none" w:sz="0" w:space="0" w:color="auto"/>
        <w:bottom w:val="none" w:sz="0" w:space="0" w:color="auto"/>
        <w:right w:val="none" w:sz="0" w:space="0" w:color="auto"/>
      </w:divBdr>
      <w:divsChild>
        <w:div w:id="1752391911">
          <w:marLeft w:val="0"/>
          <w:marRight w:val="0"/>
          <w:marTop w:val="0"/>
          <w:marBottom w:val="0"/>
          <w:divBdr>
            <w:top w:val="none" w:sz="0" w:space="0" w:color="auto"/>
            <w:left w:val="none" w:sz="0" w:space="0" w:color="auto"/>
            <w:bottom w:val="none" w:sz="0" w:space="0" w:color="auto"/>
            <w:right w:val="none" w:sz="0" w:space="0" w:color="auto"/>
          </w:divBdr>
          <w:divsChild>
            <w:div w:id="2104912759">
              <w:marLeft w:val="0"/>
              <w:marRight w:val="0"/>
              <w:marTop w:val="0"/>
              <w:marBottom w:val="0"/>
              <w:divBdr>
                <w:top w:val="none" w:sz="0" w:space="0" w:color="auto"/>
                <w:left w:val="none" w:sz="0" w:space="0" w:color="auto"/>
                <w:bottom w:val="none" w:sz="0" w:space="0" w:color="auto"/>
                <w:right w:val="none" w:sz="0" w:space="0" w:color="auto"/>
              </w:divBdr>
              <w:divsChild>
                <w:div w:id="4789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2286">
      <w:bodyDiv w:val="1"/>
      <w:marLeft w:val="0"/>
      <w:marRight w:val="0"/>
      <w:marTop w:val="0"/>
      <w:marBottom w:val="0"/>
      <w:divBdr>
        <w:top w:val="none" w:sz="0" w:space="0" w:color="auto"/>
        <w:left w:val="none" w:sz="0" w:space="0" w:color="auto"/>
        <w:bottom w:val="none" w:sz="0" w:space="0" w:color="auto"/>
        <w:right w:val="none" w:sz="0" w:space="0" w:color="auto"/>
      </w:divBdr>
      <w:divsChild>
        <w:div w:id="355272225">
          <w:marLeft w:val="0"/>
          <w:marRight w:val="0"/>
          <w:marTop w:val="0"/>
          <w:marBottom w:val="0"/>
          <w:divBdr>
            <w:top w:val="none" w:sz="0" w:space="0" w:color="auto"/>
            <w:left w:val="none" w:sz="0" w:space="0" w:color="auto"/>
            <w:bottom w:val="none" w:sz="0" w:space="0" w:color="auto"/>
            <w:right w:val="none" w:sz="0" w:space="0" w:color="auto"/>
          </w:divBdr>
          <w:divsChild>
            <w:div w:id="1481843244">
              <w:marLeft w:val="0"/>
              <w:marRight w:val="0"/>
              <w:marTop w:val="0"/>
              <w:marBottom w:val="0"/>
              <w:divBdr>
                <w:top w:val="none" w:sz="0" w:space="0" w:color="auto"/>
                <w:left w:val="none" w:sz="0" w:space="0" w:color="auto"/>
                <w:bottom w:val="none" w:sz="0" w:space="0" w:color="auto"/>
                <w:right w:val="none" w:sz="0" w:space="0" w:color="auto"/>
              </w:divBdr>
              <w:divsChild>
                <w:div w:id="6995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36085">
      <w:bodyDiv w:val="1"/>
      <w:marLeft w:val="0"/>
      <w:marRight w:val="0"/>
      <w:marTop w:val="0"/>
      <w:marBottom w:val="0"/>
      <w:divBdr>
        <w:top w:val="none" w:sz="0" w:space="0" w:color="auto"/>
        <w:left w:val="none" w:sz="0" w:space="0" w:color="auto"/>
        <w:bottom w:val="none" w:sz="0" w:space="0" w:color="auto"/>
        <w:right w:val="none" w:sz="0" w:space="0" w:color="auto"/>
      </w:divBdr>
      <w:divsChild>
        <w:div w:id="1089229124">
          <w:marLeft w:val="0"/>
          <w:marRight w:val="0"/>
          <w:marTop w:val="0"/>
          <w:marBottom w:val="0"/>
          <w:divBdr>
            <w:top w:val="none" w:sz="0" w:space="0" w:color="auto"/>
            <w:left w:val="none" w:sz="0" w:space="0" w:color="auto"/>
            <w:bottom w:val="none" w:sz="0" w:space="0" w:color="auto"/>
            <w:right w:val="none" w:sz="0" w:space="0" w:color="auto"/>
          </w:divBdr>
          <w:divsChild>
            <w:div w:id="562788345">
              <w:marLeft w:val="0"/>
              <w:marRight w:val="0"/>
              <w:marTop w:val="0"/>
              <w:marBottom w:val="0"/>
              <w:divBdr>
                <w:top w:val="none" w:sz="0" w:space="0" w:color="auto"/>
                <w:left w:val="none" w:sz="0" w:space="0" w:color="auto"/>
                <w:bottom w:val="none" w:sz="0" w:space="0" w:color="auto"/>
                <w:right w:val="none" w:sz="0" w:space="0" w:color="auto"/>
              </w:divBdr>
              <w:divsChild>
                <w:div w:id="3489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5107">
      <w:bodyDiv w:val="1"/>
      <w:marLeft w:val="0"/>
      <w:marRight w:val="0"/>
      <w:marTop w:val="0"/>
      <w:marBottom w:val="0"/>
      <w:divBdr>
        <w:top w:val="none" w:sz="0" w:space="0" w:color="auto"/>
        <w:left w:val="none" w:sz="0" w:space="0" w:color="auto"/>
        <w:bottom w:val="none" w:sz="0" w:space="0" w:color="auto"/>
        <w:right w:val="none" w:sz="0" w:space="0" w:color="auto"/>
      </w:divBdr>
    </w:div>
    <w:div w:id="845440155">
      <w:bodyDiv w:val="1"/>
      <w:marLeft w:val="0"/>
      <w:marRight w:val="0"/>
      <w:marTop w:val="0"/>
      <w:marBottom w:val="0"/>
      <w:divBdr>
        <w:top w:val="none" w:sz="0" w:space="0" w:color="auto"/>
        <w:left w:val="none" w:sz="0" w:space="0" w:color="auto"/>
        <w:bottom w:val="none" w:sz="0" w:space="0" w:color="auto"/>
        <w:right w:val="none" w:sz="0" w:space="0" w:color="auto"/>
      </w:divBdr>
    </w:div>
    <w:div w:id="871529343">
      <w:bodyDiv w:val="1"/>
      <w:marLeft w:val="0"/>
      <w:marRight w:val="0"/>
      <w:marTop w:val="0"/>
      <w:marBottom w:val="0"/>
      <w:divBdr>
        <w:top w:val="none" w:sz="0" w:space="0" w:color="auto"/>
        <w:left w:val="none" w:sz="0" w:space="0" w:color="auto"/>
        <w:bottom w:val="none" w:sz="0" w:space="0" w:color="auto"/>
        <w:right w:val="none" w:sz="0" w:space="0" w:color="auto"/>
      </w:divBdr>
      <w:divsChild>
        <w:div w:id="340395513">
          <w:marLeft w:val="0"/>
          <w:marRight w:val="0"/>
          <w:marTop w:val="0"/>
          <w:marBottom w:val="0"/>
          <w:divBdr>
            <w:top w:val="none" w:sz="0" w:space="0" w:color="auto"/>
            <w:left w:val="none" w:sz="0" w:space="0" w:color="auto"/>
            <w:bottom w:val="none" w:sz="0" w:space="0" w:color="auto"/>
            <w:right w:val="none" w:sz="0" w:space="0" w:color="auto"/>
          </w:divBdr>
          <w:divsChild>
            <w:div w:id="998576533">
              <w:marLeft w:val="0"/>
              <w:marRight w:val="0"/>
              <w:marTop w:val="0"/>
              <w:marBottom w:val="0"/>
              <w:divBdr>
                <w:top w:val="none" w:sz="0" w:space="0" w:color="auto"/>
                <w:left w:val="none" w:sz="0" w:space="0" w:color="auto"/>
                <w:bottom w:val="none" w:sz="0" w:space="0" w:color="auto"/>
                <w:right w:val="none" w:sz="0" w:space="0" w:color="auto"/>
              </w:divBdr>
              <w:divsChild>
                <w:div w:id="767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4609">
      <w:bodyDiv w:val="1"/>
      <w:marLeft w:val="0"/>
      <w:marRight w:val="0"/>
      <w:marTop w:val="0"/>
      <w:marBottom w:val="0"/>
      <w:divBdr>
        <w:top w:val="none" w:sz="0" w:space="0" w:color="auto"/>
        <w:left w:val="none" w:sz="0" w:space="0" w:color="auto"/>
        <w:bottom w:val="none" w:sz="0" w:space="0" w:color="auto"/>
        <w:right w:val="none" w:sz="0" w:space="0" w:color="auto"/>
      </w:divBdr>
      <w:divsChild>
        <w:div w:id="2115517389">
          <w:marLeft w:val="0"/>
          <w:marRight w:val="0"/>
          <w:marTop w:val="0"/>
          <w:marBottom w:val="0"/>
          <w:divBdr>
            <w:top w:val="none" w:sz="0" w:space="0" w:color="auto"/>
            <w:left w:val="none" w:sz="0" w:space="0" w:color="auto"/>
            <w:bottom w:val="none" w:sz="0" w:space="0" w:color="auto"/>
            <w:right w:val="none" w:sz="0" w:space="0" w:color="auto"/>
          </w:divBdr>
          <w:divsChild>
            <w:div w:id="1190333687">
              <w:marLeft w:val="0"/>
              <w:marRight w:val="0"/>
              <w:marTop w:val="0"/>
              <w:marBottom w:val="0"/>
              <w:divBdr>
                <w:top w:val="none" w:sz="0" w:space="0" w:color="auto"/>
                <w:left w:val="none" w:sz="0" w:space="0" w:color="auto"/>
                <w:bottom w:val="none" w:sz="0" w:space="0" w:color="auto"/>
                <w:right w:val="none" w:sz="0" w:space="0" w:color="auto"/>
              </w:divBdr>
              <w:divsChild>
                <w:div w:id="4873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8651">
      <w:bodyDiv w:val="1"/>
      <w:marLeft w:val="0"/>
      <w:marRight w:val="0"/>
      <w:marTop w:val="0"/>
      <w:marBottom w:val="0"/>
      <w:divBdr>
        <w:top w:val="none" w:sz="0" w:space="0" w:color="auto"/>
        <w:left w:val="none" w:sz="0" w:space="0" w:color="auto"/>
        <w:bottom w:val="none" w:sz="0" w:space="0" w:color="auto"/>
        <w:right w:val="none" w:sz="0" w:space="0" w:color="auto"/>
      </w:divBdr>
      <w:divsChild>
        <w:div w:id="703794101">
          <w:marLeft w:val="0"/>
          <w:marRight w:val="0"/>
          <w:marTop w:val="0"/>
          <w:marBottom w:val="0"/>
          <w:divBdr>
            <w:top w:val="none" w:sz="0" w:space="0" w:color="auto"/>
            <w:left w:val="none" w:sz="0" w:space="0" w:color="auto"/>
            <w:bottom w:val="none" w:sz="0" w:space="0" w:color="auto"/>
            <w:right w:val="none" w:sz="0" w:space="0" w:color="auto"/>
          </w:divBdr>
          <w:divsChild>
            <w:div w:id="83654465">
              <w:marLeft w:val="0"/>
              <w:marRight w:val="0"/>
              <w:marTop w:val="0"/>
              <w:marBottom w:val="0"/>
              <w:divBdr>
                <w:top w:val="none" w:sz="0" w:space="0" w:color="auto"/>
                <w:left w:val="none" w:sz="0" w:space="0" w:color="auto"/>
                <w:bottom w:val="none" w:sz="0" w:space="0" w:color="auto"/>
                <w:right w:val="none" w:sz="0" w:space="0" w:color="auto"/>
              </w:divBdr>
              <w:divsChild>
                <w:div w:id="160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6573">
      <w:bodyDiv w:val="1"/>
      <w:marLeft w:val="0"/>
      <w:marRight w:val="0"/>
      <w:marTop w:val="0"/>
      <w:marBottom w:val="0"/>
      <w:divBdr>
        <w:top w:val="none" w:sz="0" w:space="0" w:color="auto"/>
        <w:left w:val="none" w:sz="0" w:space="0" w:color="auto"/>
        <w:bottom w:val="none" w:sz="0" w:space="0" w:color="auto"/>
        <w:right w:val="none" w:sz="0" w:space="0" w:color="auto"/>
      </w:divBdr>
      <w:divsChild>
        <w:div w:id="258103137">
          <w:marLeft w:val="0"/>
          <w:marRight w:val="0"/>
          <w:marTop w:val="0"/>
          <w:marBottom w:val="0"/>
          <w:divBdr>
            <w:top w:val="none" w:sz="0" w:space="0" w:color="auto"/>
            <w:left w:val="none" w:sz="0" w:space="0" w:color="auto"/>
            <w:bottom w:val="none" w:sz="0" w:space="0" w:color="auto"/>
            <w:right w:val="none" w:sz="0" w:space="0" w:color="auto"/>
          </w:divBdr>
          <w:divsChild>
            <w:div w:id="647786768">
              <w:marLeft w:val="0"/>
              <w:marRight w:val="0"/>
              <w:marTop w:val="0"/>
              <w:marBottom w:val="0"/>
              <w:divBdr>
                <w:top w:val="none" w:sz="0" w:space="0" w:color="auto"/>
                <w:left w:val="none" w:sz="0" w:space="0" w:color="auto"/>
                <w:bottom w:val="none" w:sz="0" w:space="0" w:color="auto"/>
                <w:right w:val="none" w:sz="0" w:space="0" w:color="auto"/>
              </w:divBdr>
              <w:divsChild>
                <w:div w:id="13549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50515">
      <w:bodyDiv w:val="1"/>
      <w:marLeft w:val="0"/>
      <w:marRight w:val="0"/>
      <w:marTop w:val="0"/>
      <w:marBottom w:val="0"/>
      <w:divBdr>
        <w:top w:val="none" w:sz="0" w:space="0" w:color="auto"/>
        <w:left w:val="none" w:sz="0" w:space="0" w:color="auto"/>
        <w:bottom w:val="none" w:sz="0" w:space="0" w:color="auto"/>
        <w:right w:val="none" w:sz="0" w:space="0" w:color="auto"/>
      </w:divBdr>
      <w:divsChild>
        <w:div w:id="1099987484">
          <w:marLeft w:val="0"/>
          <w:marRight w:val="0"/>
          <w:marTop w:val="0"/>
          <w:marBottom w:val="0"/>
          <w:divBdr>
            <w:top w:val="none" w:sz="0" w:space="0" w:color="auto"/>
            <w:left w:val="none" w:sz="0" w:space="0" w:color="auto"/>
            <w:bottom w:val="none" w:sz="0" w:space="0" w:color="auto"/>
            <w:right w:val="none" w:sz="0" w:space="0" w:color="auto"/>
          </w:divBdr>
          <w:divsChild>
            <w:div w:id="1921937374">
              <w:marLeft w:val="0"/>
              <w:marRight w:val="0"/>
              <w:marTop w:val="0"/>
              <w:marBottom w:val="0"/>
              <w:divBdr>
                <w:top w:val="none" w:sz="0" w:space="0" w:color="auto"/>
                <w:left w:val="none" w:sz="0" w:space="0" w:color="auto"/>
                <w:bottom w:val="none" w:sz="0" w:space="0" w:color="auto"/>
                <w:right w:val="none" w:sz="0" w:space="0" w:color="auto"/>
              </w:divBdr>
              <w:divsChild>
                <w:div w:id="1142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9542">
      <w:bodyDiv w:val="1"/>
      <w:marLeft w:val="0"/>
      <w:marRight w:val="0"/>
      <w:marTop w:val="0"/>
      <w:marBottom w:val="0"/>
      <w:divBdr>
        <w:top w:val="none" w:sz="0" w:space="0" w:color="auto"/>
        <w:left w:val="none" w:sz="0" w:space="0" w:color="auto"/>
        <w:bottom w:val="none" w:sz="0" w:space="0" w:color="auto"/>
        <w:right w:val="none" w:sz="0" w:space="0" w:color="auto"/>
      </w:divBdr>
      <w:divsChild>
        <w:div w:id="675810837">
          <w:marLeft w:val="0"/>
          <w:marRight w:val="0"/>
          <w:marTop w:val="0"/>
          <w:marBottom w:val="0"/>
          <w:divBdr>
            <w:top w:val="none" w:sz="0" w:space="0" w:color="auto"/>
            <w:left w:val="none" w:sz="0" w:space="0" w:color="auto"/>
            <w:bottom w:val="none" w:sz="0" w:space="0" w:color="auto"/>
            <w:right w:val="none" w:sz="0" w:space="0" w:color="auto"/>
          </w:divBdr>
          <w:divsChild>
            <w:div w:id="1519654871">
              <w:marLeft w:val="0"/>
              <w:marRight w:val="0"/>
              <w:marTop w:val="0"/>
              <w:marBottom w:val="0"/>
              <w:divBdr>
                <w:top w:val="none" w:sz="0" w:space="0" w:color="auto"/>
                <w:left w:val="none" w:sz="0" w:space="0" w:color="auto"/>
                <w:bottom w:val="none" w:sz="0" w:space="0" w:color="auto"/>
                <w:right w:val="none" w:sz="0" w:space="0" w:color="auto"/>
              </w:divBdr>
              <w:divsChild>
                <w:div w:id="20143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59373">
      <w:bodyDiv w:val="1"/>
      <w:marLeft w:val="0"/>
      <w:marRight w:val="0"/>
      <w:marTop w:val="0"/>
      <w:marBottom w:val="0"/>
      <w:divBdr>
        <w:top w:val="none" w:sz="0" w:space="0" w:color="auto"/>
        <w:left w:val="none" w:sz="0" w:space="0" w:color="auto"/>
        <w:bottom w:val="none" w:sz="0" w:space="0" w:color="auto"/>
        <w:right w:val="none" w:sz="0" w:space="0" w:color="auto"/>
      </w:divBdr>
    </w:div>
    <w:div w:id="1060058966">
      <w:bodyDiv w:val="1"/>
      <w:marLeft w:val="0"/>
      <w:marRight w:val="0"/>
      <w:marTop w:val="0"/>
      <w:marBottom w:val="0"/>
      <w:divBdr>
        <w:top w:val="none" w:sz="0" w:space="0" w:color="auto"/>
        <w:left w:val="none" w:sz="0" w:space="0" w:color="auto"/>
        <w:bottom w:val="none" w:sz="0" w:space="0" w:color="auto"/>
        <w:right w:val="none" w:sz="0" w:space="0" w:color="auto"/>
      </w:divBdr>
      <w:divsChild>
        <w:div w:id="671177199">
          <w:marLeft w:val="0"/>
          <w:marRight w:val="0"/>
          <w:marTop w:val="0"/>
          <w:marBottom w:val="0"/>
          <w:divBdr>
            <w:top w:val="none" w:sz="0" w:space="0" w:color="auto"/>
            <w:left w:val="none" w:sz="0" w:space="0" w:color="auto"/>
            <w:bottom w:val="none" w:sz="0" w:space="0" w:color="auto"/>
            <w:right w:val="none" w:sz="0" w:space="0" w:color="auto"/>
          </w:divBdr>
          <w:divsChild>
            <w:div w:id="496263763">
              <w:marLeft w:val="0"/>
              <w:marRight w:val="0"/>
              <w:marTop w:val="0"/>
              <w:marBottom w:val="0"/>
              <w:divBdr>
                <w:top w:val="none" w:sz="0" w:space="0" w:color="auto"/>
                <w:left w:val="none" w:sz="0" w:space="0" w:color="auto"/>
                <w:bottom w:val="none" w:sz="0" w:space="0" w:color="auto"/>
                <w:right w:val="none" w:sz="0" w:space="0" w:color="auto"/>
              </w:divBdr>
              <w:divsChild>
                <w:div w:id="13021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5886">
      <w:bodyDiv w:val="1"/>
      <w:marLeft w:val="0"/>
      <w:marRight w:val="0"/>
      <w:marTop w:val="0"/>
      <w:marBottom w:val="0"/>
      <w:divBdr>
        <w:top w:val="none" w:sz="0" w:space="0" w:color="auto"/>
        <w:left w:val="none" w:sz="0" w:space="0" w:color="auto"/>
        <w:bottom w:val="none" w:sz="0" w:space="0" w:color="auto"/>
        <w:right w:val="none" w:sz="0" w:space="0" w:color="auto"/>
      </w:divBdr>
      <w:divsChild>
        <w:div w:id="1213154350">
          <w:marLeft w:val="0"/>
          <w:marRight w:val="0"/>
          <w:marTop w:val="0"/>
          <w:marBottom w:val="0"/>
          <w:divBdr>
            <w:top w:val="none" w:sz="0" w:space="0" w:color="auto"/>
            <w:left w:val="none" w:sz="0" w:space="0" w:color="auto"/>
            <w:bottom w:val="none" w:sz="0" w:space="0" w:color="auto"/>
            <w:right w:val="none" w:sz="0" w:space="0" w:color="auto"/>
          </w:divBdr>
          <w:divsChild>
            <w:div w:id="218980657">
              <w:marLeft w:val="0"/>
              <w:marRight w:val="0"/>
              <w:marTop w:val="0"/>
              <w:marBottom w:val="0"/>
              <w:divBdr>
                <w:top w:val="none" w:sz="0" w:space="0" w:color="auto"/>
                <w:left w:val="none" w:sz="0" w:space="0" w:color="auto"/>
                <w:bottom w:val="none" w:sz="0" w:space="0" w:color="auto"/>
                <w:right w:val="none" w:sz="0" w:space="0" w:color="auto"/>
              </w:divBdr>
              <w:divsChild>
                <w:div w:id="15303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9516">
      <w:bodyDiv w:val="1"/>
      <w:marLeft w:val="0"/>
      <w:marRight w:val="0"/>
      <w:marTop w:val="0"/>
      <w:marBottom w:val="0"/>
      <w:divBdr>
        <w:top w:val="none" w:sz="0" w:space="0" w:color="auto"/>
        <w:left w:val="none" w:sz="0" w:space="0" w:color="auto"/>
        <w:bottom w:val="none" w:sz="0" w:space="0" w:color="auto"/>
        <w:right w:val="none" w:sz="0" w:space="0" w:color="auto"/>
      </w:divBdr>
      <w:divsChild>
        <w:div w:id="1660112386">
          <w:marLeft w:val="0"/>
          <w:marRight w:val="0"/>
          <w:marTop w:val="0"/>
          <w:marBottom w:val="0"/>
          <w:divBdr>
            <w:top w:val="none" w:sz="0" w:space="0" w:color="auto"/>
            <w:left w:val="none" w:sz="0" w:space="0" w:color="auto"/>
            <w:bottom w:val="none" w:sz="0" w:space="0" w:color="auto"/>
            <w:right w:val="none" w:sz="0" w:space="0" w:color="auto"/>
          </w:divBdr>
          <w:divsChild>
            <w:div w:id="435291719">
              <w:marLeft w:val="0"/>
              <w:marRight w:val="0"/>
              <w:marTop w:val="0"/>
              <w:marBottom w:val="0"/>
              <w:divBdr>
                <w:top w:val="none" w:sz="0" w:space="0" w:color="auto"/>
                <w:left w:val="none" w:sz="0" w:space="0" w:color="auto"/>
                <w:bottom w:val="none" w:sz="0" w:space="0" w:color="auto"/>
                <w:right w:val="none" w:sz="0" w:space="0" w:color="auto"/>
              </w:divBdr>
              <w:divsChild>
                <w:div w:id="1432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2651">
      <w:bodyDiv w:val="1"/>
      <w:marLeft w:val="0"/>
      <w:marRight w:val="0"/>
      <w:marTop w:val="0"/>
      <w:marBottom w:val="0"/>
      <w:divBdr>
        <w:top w:val="none" w:sz="0" w:space="0" w:color="auto"/>
        <w:left w:val="none" w:sz="0" w:space="0" w:color="auto"/>
        <w:bottom w:val="none" w:sz="0" w:space="0" w:color="auto"/>
        <w:right w:val="none" w:sz="0" w:space="0" w:color="auto"/>
      </w:divBdr>
      <w:divsChild>
        <w:div w:id="444497487">
          <w:marLeft w:val="0"/>
          <w:marRight w:val="0"/>
          <w:marTop w:val="0"/>
          <w:marBottom w:val="0"/>
          <w:divBdr>
            <w:top w:val="none" w:sz="0" w:space="0" w:color="auto"/>
            <w:left w:val="none" w:sz="0" w:space="0" w:color="auto"/>
            <w:bottom w:val="none" w:sz="0" w:space="0" w:color="auto"/>
            <w:right w:val="none" w:sz="0" w:space="0" w:color="auto"/>
          </w:divBdr>
          <w:divsChild>
            <w:div w:id="522592496">
              <w:marLeft w:val="0"/>
              <w:marRight w:val="0"/>
              <w:marTop w:val="0"/>
              <w:marBottom w:val="0"/>
              <w:divBdr>
                <w:top w:val="none" w:sz="0" w:space="0" w:color="auto"/>
                <w:left w:val="none" w:sz="0" w:space="0" w:color="auto"/>
                <w:bottom w:val="none" w:sz="0" w:space="0" w:color="auto"/>
                <w:right w:val="none" w:sz="0" w:space="0" w:color="auto"/>
              </w:divBdr>
              <w:divsChild>
                <w:div w:id="6924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297">
      <w:bodyDiv w:val="1"/>
      <w:marLeft w:val="0"/>
      <w:marRight w:val="0"/>
      <w:marTop w:val="0"/>
      <w:marBottom w:val="0"/>
      <w:divBdr>
        <w:top w:val="none" w:sz="0" w:space="0" w:color="auto"/>
        <w:left w:val="none" w:sz="0" w:space="0" w:color="auto"/>
        <w:bottom w:val="none" w:sz="0" w:space="0" w:color="auto"/>
        <w:right w:val="none" w:sz="0" w:space="0" w:color="auto"/>
      </w:divBdr>
      <w:divsChild>
        <w:div w:id="155071533">
          <w:marLeft w:val="0"/>
          <w:marRight w:val="0"/>
          <w:marTop w:val="0"/>
          <w:marBottom w:val="0"/>
          <w:divBdr>
            <w:top w:val="none" w:sz="0" w:space="0" w:color="auto"/>
            <w:left w:val="none" w:sz="0" w:space="0" w:color="auto"/>
            <w:bottom w:val="none" w:sz="0" w:space="0" w:color="auto"/>
            <w:right w:val="none" w:sz="0" w:space="0" w:color="auto"/>
          </w:divBdr>
          <w:divsChild>
            <w:div w:id="943072769">
              <w:marLeft w:val="0"/>
              <w:marRight w:val="0"/>
              <w:marTop w:val="0"/>
              <w:marBottom w:val="0"/>
              <w:divBdr>
                <w:top w:val="none" w:sz="0" w:space="0" w:color="auto"/>
                <w:left w:val="none" w:sz="0" w:space="0" w:color="auto"/>
                <w:bottom w:val="none" w:sz="0" w:space="0" w:color="auto"/>
                <w:right w:val="none" w:sz="0" w:space="0" w:color="auto"/>
              </w:divBdr>
              <w:divsChild>
                <w:div w:id="11861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4157">
      <w:bodyDiv w:val="1"/>
      <w:marLeft w:val="0"/>
      <w:marRight w:val="0"/>
      <w:marTop w:val="0"/>
      <w:marBottom w:val="0"/>
      <w:divBdr>
        <w:top w:val="none" w:sz="0" w:space="0" w:color="auto"/>
        <w:left w:val="none" w:sz="0" w:space="0" w:color="auto"/>
        <w:bottom w:val="none" w:sz="0" w:space="0" w:color="auto"/>
        <w:right w:val="none" w:sz="0" w:space="0" w:color="auto"/>
      </w:divBdr>
      <w:divsChild>
        <w:div w:id="1676609278">
          <w:marLeft w:val="0"/>
          <w:marRight w:val="0"/>
          <w:marTop w:val="0"/>
          <w:marBottom w:val="0"/>
          <w:divBdr>
            <w:top w:val="none" w:sz="0" w:space="0" w:color="auto"/>
            <w:left w:val="none" w:sz="0" w:space="0" w:color="auto"/>
            <w:bottom w:val="none" w:sz="0" w:space="0" w:color="auto"/>
            <w:right w:val="none" w:sz="0" w:space="0" w:color="auto"/>
          </w:divBdr>
          <w:divsChild>
            <w:div w:id="1465002853">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0134">
      <w:bodyDiv w:val="1"/>
      <w:marLeft w:val="0"/>
      <w:marRight w:val="0"/>
      <w:marTop w:val="0"/>
      <w:marBottom w:val="0"/>
      <w:divBdr>
        <w:top w:val="none" w:sz="0" w:space="0" w:color="auto"/>
        <w:left w:val="none" w:sz="0" w:space="0" w:color="auto"/>
        <w:bottom w:val="none" w:sz="0" w:space="0" w:color="auto"/>
        <w:right w:val="none" w:sz="0" w:space="0" w:color="auto"/>
      </w:divBdr>
      <w:divsChild>
        <w:div w:id="127284496">
          <w:marLeft w:val="0"/>
          <w:marRight w:val="0"/>
          <w:marTop w:val="0"/>
          <w:marBottom w:val="0"/>
          <w:divBdr>
            <w:top w:val="none" w:sz="0" w:space="0" w:color="auto"/>
            <w:left w:val="none" w:sz="0" w:space="0" w:color="auto"/>
            <w:bottom w:val="none" w:sz="0" w:space="0" w:color="auto"/>
            <w:right w:val="none" w:sz="0" w:space="0" w:color="auto"/>
          </w:divBdr>
          <w:divsChild>
            <w:div w:id="634061741">
              <w:marLeft w:val="0"/>
              <w:marRight w:val="0"/>
              <w:marTop w:val="0"/>
              <w:marBottom w:val="0"/>
              <w:divBdr>
                <w:top w:val="none" w:sz="0" w:space="0" w:color="auto"/>
                <w:left w:val="none" w:sz="0" w:space="0" w:color="auto"/>
                <w:bottom w:val="none" w:sz="0" w:space="0" w:color="auto"/>
                <w:right w:val="none" w:sz="0" w:space="0" w:color="auto"/>
              </w:divBdr>
              <w:divsChild>
                <w:div w:id="20226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4380">
      <w:bodyDiv w:val="1"/>
      <w:marLeft w:val="0"/>
      <w:marRight w:val="0"/>
      <w:marTop w:val="0"/>
      <w:marBottom w:val="0"/>
      <w:divBdr>
        <w:top w:val="none" w:sz="0" w:space="0" w:color="auto"/>
        <w:left w:val="none" w:sz="0" w:space="0" w:color="auto"/>
        <w:bottom w:val="none" w:sz="0" w:space="0" w:color="auto"/>
        <w:right w:val="none" w:sz="0" w:space="0" w:color="auto"/>
      </w:divBdr>
      <w:divsChild>
        <w:div w:id="1382053625">
          <w:marLeft w:val="0"/>
          <w:marRight w:val="0"/>
          <w:marTop w:val="0"/>
          <w:marBottom w:val="0"/>
          <w:divBdr>
            <w:top w:val="none" w:sz="0" w:space="0" w:color="auto"/>
            <w:left w:val="none" w:sz="0" w:space="0" w:color="auto"/>
            <w:bottom w:val="none" w:sz="0" w:space="0" w:color="auto"/>
            <w:right w:val="none" w:sz="0" w:space="0" w:color="auto"/>
          </w:divBdr>
          <w:divsChild>
            <w:div w:id="593901300">
              <w:marLeft w:val="0"/>
              <w:marRight w:val="0"/>
              <w:marTop w:val="0"/>
              <w:marBottom w:val="0"/>
              <w:divBdr>
                <w:top w:val="none" w:sz="0" w:space="0" w:color="auto"/>
                <w:left w:val="none" w:sz="0" w:space="0" w:color="auto"/>
                <w:bottom w:val="none" w:sz="0" w:space="0" w:color="auto"/>
                <w:right w:val="none" w:sz="0" w:space="0" w:color="auto"/>
              </w:divBdr>
              <w:divsChild>
                <w:div w:id="1184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7179">
      <w:bodyDiv w:val="1"/>
      <w:marLeft w:val="0"/>
      <w:marRight w:val="0"/>
      <w:marTop w:val="0"/>
      <w:marBottom w:val="0"/>
      <w:divBdr>
        <w:top w:val="none" w:sz="0" w:space="0" w:color="auto"/>
        <w:left w:val="none" w:sz="0" w:space="0" w:color="auto"/>
        <w:bottom w:val="none" w:sz="0" w:space="0" w:color="auto"/>
        <w:right w:val="none" w:sz="0" w:space="0" w:color="auto"/>
      </w:divBdr>
      <w:divsChild>
        <w:div w:id="1799294269">
          <w:marLeft w:val="0"/>
          <w:marRight w:val="0"/>
          <w:marTop w:val="0"/>
          <w:marBottom w:val="0"/>
          <w:divBdr>
            <w:top w:val="none" w:sz="0" w:space="0" w:color="auto"/>
            <w:left w:val="none" w:sz="0" w:space="0" w:color="auto"/>
            <w:bottom w:val="none" w:sz="0" w:space="0" w:color="auto"/>
            <w:right w:val="none" w:sz="0" w:space="0" w:color="auto"/>
          </w:divBdr>
          <w:divsChild>
            <w:div w:id="56436681">
              <w:marLeft w:val="0"/>
              <w:marRight w:val="0"/>
              <w:marTop w:val="0"/>
              <w:marBottom w:val="0"/>
              <w:divBdr>
                <w:top w:val="none" w:sz="0" w:space="0" w:color="auto"/>
                <w:left w:val="none" w:sz="0" w:space="0" w:color="auto"/>
                <w:bottom w:val="none" w:sz="0" w:space="0" w:color="auto"/>
                <w:right w:val="none" w:sz="0" w:space="0" w:color="auto"/>
              </w:divBdr>
              <w:divsChild>
                <w:div w:id="14249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0666">
      <w:bodyDiv w:val="1"/>
      <w:marLeft w:val="0"/>
      <w:marRight w:val="0"/>
      <w:marTop w:val="0"/>
      <w:marBottom w:val="0"/>
      <w:divBdr>
        <w:top w:val="none" w:sz="0" w:space="0" w:color="auto"/>
        <w:left w:val="none" w:sz="0" w:space="0" w:color="auto"/>
        <w:bottom w:val="none" w:sz="0" w:space="0" w:color="auto"/>
        <w:right w:val="none" w:sz="0" w:space="0" w:color="auto"/>
      </w:divBdr>
      <w:divsChild>
        <w:div w:id="1932157097">
          <w:marLeft w:val="0"/>
          <w:marRight w:val="0"/>
          <w:marTop w:val="0"/>
          <w:marBottom w:val="0"/>
          <w:divBdr>
            <w:top w:val="none" w:sz="0" w:space="0" w:color="auto"/>
            <w:left w:val="none" w:sz="0" w:space="0" w:color="auto"/>
            <w:bottom w:val="none" w:sz="0" w:space="0" w:color="auto"/>
            <w:right w:val="none" w:sz="0" w:space="0" w:color="auto"/>
          </w:divBdr>
          <w:divsChild>
            <w:div w:id="890649220">
              <w:marLeft w:val="0"/>
              <w:marRight w:val="0"/>
              <w:marTop w:val="0"/>
              <w:marBottom w:val="0"/>
              <w:divBdr>
                <w:top w:val="none" w:sz="0" w:space="0" w:color="auto"/>
                <w:left w:val="none" w:sz="0" w:space="0" w:color="auto"/>
                <w:bottom w:val="none" w:sz="0" w:space="0" w:color="auto"/>
                <w:right w:val="none" w:sz="0" w:space="0" w:color="auto"/>
              </w:divBdr>
              <w:divsChild>
                <w:div w:id="1764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1804">
      <w:bodyDiv w:val="1"/>
      <w:marLeft w:val="0"/>
      <w:marRight w:val="0"/>
      <w:marTop w:val="0"/>
      <w:marBottom w:val="0"/>
      <w:divBdr>
        <w:top w:val="none" w:sz="0" w:space="0" w:color="auto"/>
        <w:left w:val="none" w:sz="0" w:space="0" w:color="auto"/>
        <w:bottom w:val="none" w:sz="0" w:space="0" w:color="auto"/>
        <w:right w:val="none" w:sz="0" w:space="0" w:color="auto"/>
      </w:divBdr>
    </w:div>
    <w:div w:id="1504124845">
      <w:bodyDiv w:val="1"/>
      <w:marLeft w:val="0"/>
      <w:marRight w:val="0"/>
      <w:marTop w:val="0"/>
      <w:marBottom w:val="0"/>
      <w:divBdr>
        <w:top w:val="none" w:sz="0" w:space="0" w:color="auto"/>
        <w:left w:val="none" w:sz="0" w:space="0" w:color="auto"/>
        <w:bottom w:val="none" w:sz="0" w:space="0" w:color="auto"/>
        <w:right w:val="none" w:sz="0" w:space="0" w:color="auto"/>
      </w:divBdr>
      <w:divsChild>
        <w:div w:id="601452918">
          <w:marLeft w:val="0"/>
          <w:marRight w:val="0"/>
          <w:marTop w:val="0"/>
          <w:marBottom w:val="0"/>
          <w:divBdr>
            <w:top w:val="none" w:sz="0" w:space="0" w:color="auto"/>
            <w:left w:val="none" w:sz="0" w:space="0" w:color="auto"/>
            <w:bottom w:val="none" w:sz="0" w:space="0" w:color="auto"/>
            <w:right w:val="none" w:sz="0" w:space="0" w:color="auto"/>
          </w:divBdr>
          <w:divsChild>
            <w:div w:id="588807952">
              <w:marLeft w:val="0"/>
              <w:marRight w:val="0"/>
              <w:marTop w:val="0"/>
              <w:marBottom w:val="0"/>
              <w:divBdr>
                <w:top w:val="none" w:sz="0" w:space="0" w:color="auto"/>
                <w:left w:val="none" w:sz="0" w:space="0" w:color="auto"/>
                <w:bottom w:val="none" w:sz="0" w:space="0" w:color="auto"/>
                <w:right w:val="none" w:sz="0" w:space="0" w:color="auto"/>
              </w:divBdr>
              <w:divsChild>
                <w:div w:id="1993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60273">
      <w:bodyDiv w:val="1"/>
      <w:marLeft w:val="0"/>
      <w:marRight w:val="0"/>
      <w:marTop w:val="0"/>
      <w:marBottom w:val="0"/>
      <w:divBdr>
        <w:top w:val="none" w:sz="0" w:space="0" w:color="auto"/>
        <w:left w:val="none" w:sz="0" w:space="0" w:color="auto"/>
        <w:bottom w:val="none" w:sz="0" w:space="0" w:color="auto"/>
        <w:right w:val="none" w:sz="0" w:space="0" w:color="auto"/>
      </w:divBdr>
      <w:divsChild>
        <w:div w:id="1821842660">
          <w:marLeft w:val="0"/>
          <w:marRight w:val="0"/>
          <w:marTop w:val="0"/>
          <w:marBottom w:val="0"/>
          <w:divBdr>
            <w:top w:val="none" w:sz="0" w:space="0" w:color="auto"/>
            <w:left w:val="none" w:sz="0" w:space="0" w:color="auto"/>
            <w:bottom w:val="none" w:sz="0" w:space="0" w:color="auto"/>
            <w:right w:val="none" w:sz="0" w:space="0" w:color="auto"/>
          </w:divBdr>
          <w:divsChild>
            <w:div w:id="1105224964">
              <w:marLeft w:val="0"/>
              <w:marRight w:val="0"/>
              <w:marTop w:val="0"/>
              <w:marBottom w:val="0"/>
              <w:divBdr>
                <w:top w:val="none" w:sz="0" w:space="0" w:color="auto"/>
                <w:left w:val="none" w:sz="0" w:space="0" w:color="auto"/>
                <w:bottom w:val="none" w:sz="0" w:space="0" w:color="auto"/>
                <w:right w:val="none" w:sz="0" w:space="0" w:color="auto"/>
              </w:divBdr>
              <w:divsChild>
                <w:div w:id="1422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452">
      <w:bodyDiv w:val="1"/>
      <w:marLeft w:val="0"/>
      <w:marRight w:val="0"/>
      <w:marTop w:val="0"/>
      <w:marBottom w:val="0"/>
      <w:divBdr>
        <w:top w:val="none" w:sz="0" w:space="0" w:color="auto"/>
        <w:left w:val="none" w:sz="0" w:space="0" w:color="auto"/>
        <w:bottom w:val="none" w:sz="0" w:space="0" w:color="auto"/>
        <w:right w:val="none" w:sz="0" w:space="0" w:color="auto"/>
      </w:divBdr>
      <w:divsChild>
        <w:div w:id="1361904823">
          <w:marLeft w:val="0"/>
          <w:marRight w:val="0"/>
          <w:marTop w:val="0"/>
          <w:marBottom w:val="0"/>
          <w:divBdr>
            <w:top w:val="none" w:sz="0" w:space="0" w:color="auto"/>
            <w:left w:val="none" w:sz="0" w:space="0" w:color="auto"/>
            <w:bottom w:val="none" w:sz="0" w:space="0" w:color="auto"/>
            <w:right w:val="none" w:sz="0" w:space="0" w:color="auto"/>
          </w:divBdr>
          <w:divsChild>
            <w:div w:id="1749379308">
              <w:marLeft w:val="0"/>
              <w:marRight w:val="0"/>
              <w:marTop w:val="0"/>
              <w:marBottom w:val="0"/>
              <w:divBdr>
                <w:top w:val="none" w:sz="0" w:space="0" w:color="auto"/>
                <w:left w:val="none" w:sz="0" w:space="0" w:color="auto"/>
                <w:bottom w:val="none" w:sz="0" w:space="0" w:color="auto"/>
                <w:right w:val="none" w:sz="0" w:space="0" w:color="auto"/>
              </w:divBdr>
              <w:divsChild>
                <w:div w:id="10156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93400">
      <w:bodyDiv w:val="1"/>
      <w:marLeft w:val="0"/>
      <w:marRight w:val="0"/>
      <w:marTop w:val="0"/>
      <w:marBottom w:val="0"/>
      <w:divBdr>
        <w:top w:val="none" w:sz="0" w:space="0" w:color="auto"/>
        <w:left w:val="none" w:sz="0" w:space="0" w:color="auto"/>
        <w:bottom w:val="none" w:sz="0" w:space="0" w:color="auto"/>
        <w:right w:val="none" w:sz="0" w:space="0" w:color="auto"/>
      </w:divBdr>
      <w:divsChild>
        <w:div w:id="807891638">
          <w:marLeft w:val="0"/>
          <w:marRight w:val="0"/>
          <w:marTop w:val="0"/>
          <w:marBottom w:val="0"/>
          <w:divBdr>
            <w:top w:val="none" w:sz="0" w:space="0" w:color="auto"/>
            <w:left w:val="none" w:sz="0" w:space="0" w:color="auto"/>
            <w:bottom w:val="none" w:sz="0" w:space="0" w:color="auto"/>
            <w:right w:val="none" w:sz="0" w:space="0" w:color="auto"/>
          </w:divBdr>
          <w:divsChild>
            <w:div w:id="34430390">
              <w:marLeft w:val="0"/>
              <w:marRight w:val="0"/>
              <w:marTop w:val="0"/>
              <w:marBottom w:val="0"/>
              <w:divBdr>
                <w:top w:val="none" w:sz="0" w:space="0" w:color="auto"/>
                <w:left w:val="none" w:sz="0" w:space="0" w:color="auto"/>
                <w:bottom w:val="none" w:sz="0" w:space="0" w:color="auto"/>
                <w:right w:val="none" w:sz="0" w:space="0" w:color="auto"/>
              </w:divBdr>
              <w:divsChild>
                <w:div w:id="7425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3519">
      <w:bodyDiv w:val="1"/>
      <w:marLeft w:val="0"/>
      <w:marRight w:val="0"/>
      <w:marTop w:val="0"/>
      <w:marBottom w:val="0"/>
      <w:divBdr>
        <w:top w:val="none" w:sz="0" w:space="0" w:color="auto"/>
        <w:left w:val="none" w:sz="0" w:space="0" w:color="auto"/>
        <w:bottom w:val="none" w:sz="0" w:space="0" w:color="auto"/>
        <w:right w:val="none" w:sz="0" w:space="0" w:color="auto"/>
      </w:divBdr>
      <w:divsChild>
        <w:div w:id="132796010">
          <w:marLeft w:val="0"/>
          <w:marRight w:val="0"/>
          <w:marTop w:val="0"/>
          <w:marBottom w:val="0"/>
          <w:divBdr>
            <w:top w:val="none" w:sz="0" w:space="0" w:color="auto"/>
            <w:left w:val="none" w:sz="0" w:space="0" w:color="auto"/>
            <w:bottom w:val="none" w:sz="0" w:space="0" w:color="auto"/>
            <w:right w:val="none" w:sz="0" w:space="0" w:color="auto"/>
          </w:divBdr>
          <w:divsChild>
            <w:div w:id="1024867669">
              <w:marLeft w:val="0"/>
              <w:marRight w:val="0"/>
              <w:marTop w:val="0"/>
              <w:marBottom w:val="0"/>
              <w:divBdr>
                <w:top w:val="none" w:sz="0" w:space="0" w:color="auto"/>
                <w:left w:val="none" w:sz="0" w:space="0" w:color="auto"/>
                <w:bottom w:val="none" w:sz="0" w:space="0" w:color="auto"/>
                <w:right w:val="none" w:sz="0" w:space="0" w:color="auto"/>
              </w:divBdr>
              <w:divsChild>
                <w:div w:id="11349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89862">
      <w:bodyDiv w:val="1"/>
      <w:marLeft w:val="0"/>
      <w:marRight w:val="0"/>
      <w:marTop w:val="0"/>
      <w:marBottom w:val="0"/>
      <w:divBdr>
        <w:top w:val="none" w:sz="0" w:space="0" w:color="auto"/>
        <w:left w:val="none" w:sz="0" w:space="0" w:color="auto"/>
        <w:bottom w:val="none" w:sz="0" w:space="0" w:color="auto"/>
        <w:right w:val="none" w:sz="0" w:space="0" w:color="auto"/>
      </w:divBdr>
    </w:div>
    <w:div w:id="1932817307">
      <w:bodyDiv w:val="1"/>
      <w:marLeft w:val="0"/>
      <w:marRight w:val="0"/>
      <w:marTop w:val="0"/>
      <w:marBottom w:val="0"/>
      <w:divBdr>
        <w:top w:val="none" w:sz="0" w:space="0" w:color="auto"/>
        <w:left w:val="none" w:sz="0" w:space="0" w:color="auto"/>
        <w:bottom w:val="none" w:sz="0" w:space="0" w:color="auto"/>
        <w:right w:val="none" w:sz="0" w:space="0" w:color="auto"/>
      </w:divBdr>
      <w:divsChild>
        <w:div w:id="1938250368">
          <w:marLeft w:val="0"/>
          <w:marRight w:val="0"/>
          <w:marTop w:val="0"/>
          <w:marBottom w:val="0"/>
          <w:divBdr>
            <w:top w:val="none" w:sz="0" w:space="0" w:color="auto"/>
            <w:left w:val="none" w:sz="0" w:space="0" w:color="auto"/>
            <w:bottom w:val="none" w:sz="0" w:space="0" w:color="auto"/>
            <w:right w:val="none" w:sz="0" w:space="0" w:color="auto"/>
          </w:divBdr>
          <w:divsChild>
            <w:div w:id="400298452">
              <w:marLeft w:val="0"/>
              <w:marRight w:val="0"/>
              <w:marTop w:val="0"/>
              <w:marBottom w:val="0"/>
              <w:divBdr>
                <w:top w:val="none" w:sz="0" w:space="0" w:color="auto"/>
                <w:left w:val="none" w:sz="0" w:space="0" w:color="auto"/>
                <w:bottom w:val="none" w:sz="0" w:space="0" w:color="auto"/>
                <w:right w:val="none" w:sz="0" w:space="0" w:color="auto"/>
              </w:divBdr>
              <w:divsChild>
                <w:div w:id="4978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716">
      <w:bodyDiv w:val="1"/>
      <w:marLeft w:val="0"/>
      <w:marRight w:val="0"/>
      <w:marTop w:val="0"/>
      <w:marBottom w:val="0"/>
      <w:divBdr>
        <w:top w:val="none" w:sz="0" w:space="0" w:color="auto"/>
        <w:left w:val="none" w:sz="0" w:space="0" w:color="auto"/>
        <w:bottom w:val="none" w:sz="0" w:space="0" w:color="auto"/>
        <w:right w:val="none" w:sz="0" w:space="0" w:color="auto"/>
      </w:divBdr>
    </w:div>
    <w:div w:id="2060007015">
      <w:bodyDiv w:val="1"/>
      <w:marLeft w:val="0"/>
      <w:marRight w:val="0"/>
      <w:marTop w:val="0"/>
      <w:marBottom w:val="0"/>
      <w:divBdr>
        <w:top w:val="none" w:sz="0" w:space="0" w:color="auto"/>
        <w:left w:val="none" w:sz="0" w:space="0" w:color="auto"/>
        <w:bottom w:val="none" w:sz="0" w:space="0" w:color="auto"/>
        <w:right w:val="none" w:sz="0" w:space="0" w:color="auto"/>
      </w:divBdr>
      <w:divsChild>
        <w:div w:id="792290054">
          <w:marLeft w:val="0"/>
          <w:marRight w:val="0"/>
          <w:marTop w:val="0"/>
          <w:marBottom w:val="0"/>
          <w:divBdr>
            <w:top w:val="none" w:sz="0" w:space="0" w:color="auto"/>
            <w:left w:val="none" w:sz="0" w:space="0" w:color="auto"/>
            <w:bottom w:val="none" w:sz="0" w:space="0" w:color="auto"/>
            <w:right w:val="none" w:sz="0" w:space="0" w:color="auto"/>
          </w:divBdr>
          <w:divsChild>
            <w:div w:id="552692124">
              <w:marLeft w:val="0"/>
              <w:marRight w:val="0"/>
              <w:marTop w:val="0"/>
              <w:marBottom w:val="0"/>
              <w:divBdr>
                <w:top w:val="none" w:sz="0" w:space="0" w:color="auto"/>
                <w:left w:val="none" w:sz="0" w:space="0" w:color="auto"/>
                <w:bottom w:val="none" w:sz="0" w:space="0" w:color="auto"/>
                <w:right w:val="none" w:sz="0" w:space="0" w:color="auto"/>
              </w:divBdr>
              <w:divsChild>
                <w:div w:id="18713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3053">
      <w:bodyDiv w:val="1"/>
      <w:marLeft w:val="0"/>
      <w:marRight w:val="0"/>
      <w:marTop w:val="0"/>
      <w:marBottom w:val="0"/>
      <w:divBdr>
        <w:top w:val="none" w:sz="0" w:space="0" w:color="auto"/>
        <w:left w:val="none" w:sz="0" w:space="0" w:color="auto"/>
        <w:bottom w:val="none" w:sz="0" w:space="0" w:color="auto"/>
        <w:right w:val="none" w:sz="0" w:space="0" w:color="auto"/>
      </w:divBdr>
      <w:divsChild>
        <w:div w:id="156965533">
          <w:marLeft w:val="0"/>
          <w:marRight w:val="0"/>
          <w:marTop w:val="0"/>
          <w:marBottom w:val="0"/>
          <w:divBdr>
            <w:top w:val="none" w:sz="0" w:space="0" w:color="auto"/>
            <w:left w:val="none" w:sz="0" w:space="0" w:color="auto"/>
            <w:bottom w:val="none" w:sz="0" w:space="0" w:color="auto"/>
            <w:right w:val="none" w:sz="0" w:space="0" w:color="auto"/>
          </w:divBdr>
          <w:divsChild>
            <w:div w:id="1059478121">
              <w:marLeft w:val="0"/>
              <w:marRight w:val="0"/>
              <w:marTop w:val="0"/>
              <w:marBottom w:val="0"/>
              <w:divBdr>
                <w:top w:val="none" w:sz="0" w:space="0" w:color="auto"/>
                <w:left w:val="none" w:sz="0" w:space="0" w:color="auto"/>
                <w:bottom w:val="none" w:sz="0" w:space="0" w:color="auto"/>
                <w:right w:val="none" w:sz="0" w:space="0" w:color="auto"/>
              </w:divBdr>
              <w:divsChild>
                <w:div w:id="18758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CF7F91-C75C-FD4F-B78C-72EF49BA8778}" type="doc">
      <dgm:prSet loTypeId="urn:microsoft.com/office/officeart/2005/8/layout/chevron1" loCatId="" qsTypeId="urn:microsoft.com/office/officeart/2005/8/quickstyle/simple2" qsCatId="simple" csTypeId="urn:microsoft.com/office/officeart/2005/8/colors/accent1_2" csCatId="accent1" phldr="1"/>
      <dgm:spPr/>
      <dgm:t>
        <a:bodyPr/>
        <a:lstStyle/>
        <a:p>
          <a:endParaRPr lang="hu-HU"/>
        </a:p>
      </dgm:t>
    </dgm:pt>
    <dgm:pt modelId="{8F76C26A-7DCE-0349-A563-9F5728F18508}">
      <dgm:prSet phldrT="[Szöveg]" custT="1"/>
      <dgm:spPr/>
      <dgm:t>
        <a:bodyPr/>
        <a:lstStyle/>
        <a:p>
          <a:pPr algn="ctr">
            <a:buFont typeface="Symbol" pitchFamily="2" charset="2"/>
            <a:buChar char=""/>
          </a:pPr>
          <a:r>
            <a:rPr lang="hu-HU" sz="600"/>
            <a:t>Az EIR által kezelt adatvagyon felmérése</a:t>
          </a:r>
        </a:p>
      </dgm:t>
    </dgm:pt>
    <dgm:pt modelId="{0BA491B5-FD8E-EE41-BFE6-BEA7A9E4F21C}" type="parTrans" cxnId="{6AA8AC71-1BB7-2840-811A-BC654EC58A37}">
      <dgm:prSet/>
      <dgm:spPr/>
      <dgm:t>
        <a:bodyPr/>
        <a:lstStyle/>
        <a:p>
          <a:pPr algn="ctr"/>
          <a:endParaRPr lang="hu-HU" sz="2000"/>
        </a:p>
      </dgm:t>
    </dgm:pt>
    <dgm:pt modelId="{054C9E7A-9C29-D64C-9969-582361F60559}" type="sibTrans" cxnId="{6AA8AC71-1BB7-2840-811A-BC654EC58A37}">
      <dgm:prSet/>
      <dgm:spPr/>
      <dgm:t>
        <a:bodyPr/>
        <a:lstStyle/>
        <a:p>
          <a:pPr algn="ctr"/>
          <a:endParaRPr lang="hu-HU" sz="2000"/>
        </a:p>
      </dgm:t>
    </dgm:pt>
    <dgm:pt modelId="{2043CF2D-C87D-3348-874B-F3AA2D3E5F72}">
      <dgm:prSet phldrT="[Szöveg]" custT="1"/>
      <dgm:spPr/>
      <dgm:t>
        <a:bodyPr/>
        <a:lstStyle/>
        <a:p>
          <a:pPr algn="ctr">
            <a:buFont typeface="Symbol" pitchFamily="2" charset="2"/>
            <a:buChar char=""/>
          </a:pPr>
          <a:r>
            <a:rPr lang="hu-HU" sz="600"/>
            <a:t>Fenyegetettségek meghatározása</a:t>
          </a:r>
        </a:p>
      </dgm:t>
    </dgm:pt>
    <dgm:pt modelId="{5E84D04A-EF82-6D48-8808-575F70A18AFC}" type="parTrans" cxnId="{B0905750-A43D-1B40-93BB-5B0199A34146}">
      <dgm:prSet/>
      <dgm:spPr/>
      <dgm:t>
        <a:bodyPr/>
        <a:lstStyle/>
        <a:p>
          <a:pPr algn="ctr"/>
          <a:endParaRPr lang="hu-HU" sz="2000"/>
        </a:p>
      </dgm:t>
    </dgm:pt>
    <dgm:pt modelId="{F7C5B9A0-B7F0-F744-A744-EBF2ADF1CFBB}" type="sibTrans" cxnId="{B0905750-A43D-1B40-93BB-5B0199A34146}">
      <dgm:prSet/>
      <dgm:spPr/>
      <dgm:t>
        <a:bodyPr/>
        <a:lstStyle/>
        <a:p>
          <a:pPr algn="ctr"/>
          <a:endParaRPr lang="hu-HU" sz="2000"/>
        </a:p>
      </dgm:t>
    </dgm:pt>
    <dgm:pt modelId="{4AEEB462-12EE-324F-AF35-48CBFC249DFF}">
      <dgm:prSet phldrT="[Szöveg]" custT="1"/>
      <dgm:spPr/>
      <dgm:t>
        <a:bodyPr/>
        <a:lstStyle/>
        <a:p>
          <a:pPr algn="ctr">
            <a:buFont typeface="Symbol" pitchFamily="2" charset="2"/>
            <a:buChar char=""/>
          </a:pPr>
          <a:r>
            <a:rPr lang="hu-HU" sz="600"/>
            <a:t>Kockázatok értékelése kárérték meghatározása alapján</a:t>
          </a:r>
        </a:p>
      </dgm:t>
    </dgm:pt>
    <dgm:pt modelId="{B7064C16-8759-E84C-A367-9BDA33D90BE8}" type="parTrans" cxnId="{5C234B98-FD70-6F43-ADB0-1D49147FB1BE}">
      <dgm:prSet/>
      <dgm:spPr/>
      <dgm:t>
        <a:bodyPr/>
        <a:lstStyle/>
        <a:p>
          <a:pPr algn="ctr"/>
          <a:endParaRPr lang="hu-HU" sz="2000"/>
        </a:p>
      </dgm:t>
    </dgm:pt>
    <dgm:pt modelId="{7A672040-275D-8D40-A11E-616867F89383}" type="sibTrans" cxnId="{5C234B98-FD70-6F43-ADB0-1D49147FB1BE}">
      <dgm:prSet/>
      <dgm:spPr/>
      <dgm:t>
        <a:bodyPr/>
        <a:lstStyle/>
        <a:p>
          <a:pPr algn="ctr"/>
          <a:endParaRPr lang="hu-HU" sz="2000"/>
        </a:p>
      </dgm:t>
    </dgm:pt>
    <dgm:pt modelId="{009717B3-E850-B04F-9BDE-11B857A8C4D3}">
      <dgm:prSet custT="1"/>
      <dgm:spPr/>
      <dgm:t>
        <a:bodyPr/>
        <a:lstStyle/>
        <a:p>
          <a:pPr algn="ctr">
            <a:buFont typeface="Symbol" pitchFamily="2" charset="2"/>
            <a:buChar char=""/>
          </a:pPr>
          <a:r>
            <a:rPr lang="hu-HU" sz="600"/>
            <a:t>EIR előzetes biztonsági osztályba sorolása</a:t>
          </a:r>
        </a:p>
      </dgm:t>
    </dgm:pt>
    <dgm:pt modelId="{744D9816-6C1F-D14D-B34D-3976AD3795D1}" type="parTrans" cxnId="{68DB5038-C102-6742-8D57-0858465FA72E}">
      <dgm:prSet/>
      <dgm:spPr/>
      <dgm:t>
        <a:bodyPr/>
        <a:lstStyle/>
        <a:p>
          <a:pPr algn="ctr"/>
          <a:endParaRPr lang="hu-HU" sz="2000"/>
        </a:p>
      </dgm:t>
    </dgm:pt>
    <dgm:pt modelId="{B64EF629-A50E-3A40-8578-97D07E5EE2AF}" type="sibTrans" cxnId="{68DB5038-C102-6742-8D57-0858465FA72E}">
      <dgm:prSet/>
      <dgm:spPr/>
      <dgm:t>
        <a:bodyPr/>
        <a:lstStyle/>
        <a:p>
          <a:pPr algn="ctr"/>
          <a:endParaRPr lang="hu-HU" sz="2000"/>
        </a:p>
      </dgm:t>
    </dgm:pt>
    <dgm:pt modelId="{14F73472-9306-0346-918D-ADB3AF692D4E}">
      <dgm:prSet custT="1"/>
      <dgm:spPr/>
      <dgm:t>
        <a:bodyPr/>
        <a:lstStyle/>
        <a:p>
          <a:r>
            <a:rPr lang="hu-HU" sz="600"/>
            <a:t>Előzetes biztonsági osztályba sorolás vezetői jóváhagyása</a:t>
          </a:r>
        </a:p>
      </dgm:t>
    </dgm:pt>
    <dgm:pt modelId="{64ED2425-A7AF-0F4E-90F5-C79CEEBABBA6}" type="parTrans" cxnId="{5460DA5A-9C62-1647-B5BA-2021468EDF94}">
      <dgm:prSet/>
      <dgm:spPr/>
      <dgm:t>
        <a:bodyPr/>
        <a:lstStyle/>
        <a:p>
          <a:endParaRPr lang="hu-HU" sz="2000"/>
        </a:p>
      </dgm:t>
    </dgm:pt>
    <dgm:pt modelId="{EC0CA18C-F138-DE47-861C-0772D15A7C72}" type="sibTrans" cxnId="{5460DA5A-9C62-1647-B5BA-2021468EDF94}">
      <dgm:prSet/>
      <dgm:spPr/>
      <dgm:t>
        <a:bodyPr/>
        <a:lstStyle/>
        <a:p>
          <a:endParaRPr lang="hu-HU" sz="2000"/>
        </a:p>
      </dgm:t>
    </dgm:pt>
    <dgm:pt modelId="{80F52A9A-F286-404C-A6FD-21823F254480}" type="pres">
      <dgm:prSet presAssocID="{9ACF7F91-C75C-FD4F-B78C-72EF49BA8778}" presName="Name0" presStyleCnt="0">
        <dgm:presLayoutVars>
          <dgm:dir/>
          <dgm:animLvl val="lvl"/>
          <dgm:resizeHandles val="exact"/>
        </dgm:presLayoutVars>
      </dgm:prSet>
      <dgm:spPr/>
    </dgm:pt>
    <dgm:pt modelId="{5C3B7A31-7DD4-9F40-8CCD-8556D05A8251}" type="pres">
      <dgm:prSet presAssocID="{8F76C26A-7DCE-0349-A563-9F5728F18508}" presName="parTxOnly" presStyleLbl="node1" presStyleIdx="0" presStyleCnt="5">
        <dgm:presLayoutVars>
          <dgm:chMax val="0"/>
          <dgm:chPref val="0"/>
          <dgm:bulletEnabled val="1"/>
        </dgm:presLayoutVars>
      </dgm:prSet>
      <dgm:spPr/>
    </dgm:pt>
    <dgm:pt modelId="{D5C490D3-5865-1E45-9ACA-0A714D689D08}" type="pres">
      <dgm:prSet presAssocID="{054C9E7A-9C29-D64C-9969-582361F60559}" presName="parTxOnlySpace" presStyleCnt="0"/>
      <dgm:spPr/>
    </dgm:pt>
    <dgm:pt modelId="{19556662-069D-D849-A8A1-DAEDFD391CAF}" type="pres">
      <dgm:prSet presAssocID="{2043CF2D-C87D-3348-874B-F3AA2D3E5F72}" presName="parTxOnly" presStyleLbl="node1" presStyleIdx="1" presStyleCnt="5">
        <dgm:presLayoutVars>
          <dgm:chMax val="0"/>
          <dgm:chPref val="0"/>
          <dgm:bulletEnabled val="1"/>
        </dgm:presLayoutVars>
      </dgm:prSet>
      <dgm:spPr/>
    </dgm:pt>
    <dgm:pt modelId="{B807F8C0-CEB1-C342-A14B-77EA73B46CEF}" type="pres">
      <dgm:prSet presAssocID="{F7C5B9A0-B7F0-F744-A744-EBF2ADF1CFBB}" presName="parTxOnlySpace" presStyleCnt="0"/>
      <dgm:spPr/>
    </dgm:pt>
    <dgm:pt modelId="{46D3370F-D675-1A40-BA33-2BE29255C5AE}" type="pres">
      <dgm:prSet presAssocID="{4AEEB462-12EE-324F-AF35-48CBFC249DFF}" presName="parTxOnly" presStyleLbl="node1" presStyleIdx="2" presStyleCnt="5">
        <dgm:presLayoutVars>
          <dgm:chMax val="0"/>
          <dgm:chPref val="0"/>
          <dgm:bulletEnabled val="1"/>
        </dgm:presLayoutVars>
      </dgm:prSet>
      <dgm:spPr/>
    </dgm:pt>
    <dgm:pt modelId="{903555D2-5D88-A64E-A932-0BD225FCB34D}" type="pres">
      <dgm:prSet presAssocID="{7A672040-275D-8D40-A11E-616867F89383}" presName="parTxOnlySpace" presStyleCnt="0"/>
      <dgm:spPr/>
    </dgm:pt>
    <dgm:pt modelId="{7DE3170A-33BB-0D49-8FD5-3ACD56D13B60}" type="pres">
      <dgm:prSet presAssocID="{009717B3-E850-B04F-9BDE-11B857A8C4D3}" presName="parTxOnly" presStyleLbl="node1" presStyleIdx="3" presStyleCnt="5">
        <dgm:presLayoutVars>
          <dgm:chMax val="0"/>
          <dgm:chPref val="0"/>
          <dgm:bulletEnabled val="1"/>
        </dgm:presLayoutVars>
      </dgm:prSet>
      <dgm:spPr/>
    </dgm:pt>
    <dgm:pt modelId="{441ED386-EB39-AA4B-9E9B-3B8C4D9D60ED}" type="pres">
      <dgm:prSet presAssocID="{B64EF629-A50E-3A40-8578-97D07E5EE2AF}" presName="parTxOnlySpace" presStyleCnt="0"/>
      <dgm:spPr/>
    </dgm:pt>
    <dgm:pt modelId="{2190C8B8-D4EE-9F42-ABDB-6DC8BD7600EA}" type="pres">
      <dgm:prSet presAssocID="{14F73472-9306-0346-918D-ADB3AF692D4E}" presName="parTxOnly" presStyleLbl="node1" presStyleIdx="4" presStyleCnt="5">
        <dgm:presLayoutVars>
          <dgm:chMax val="0"/>
          <dgm:chPref val="0"/>
          <dgm:bulletEnabled val="1"/>
        </dgm:presLayoutVars>
      </dgm:prSet>
      <dgm:spPr/>
    </dgm:pt>
  </dgm:ptLst>
  <dgm:cxnLst>
    <dgm:cxn modelId="{BB791C35-4981-C24D-ABE1-6CD7F1D1BFA8}" type="presOf" srcId="{4AEEB462-12EE-324F-AF35-48CBFC249DFF}" destId="{46D3370F-D675-1A40-BA33-2BE29255C5AE}" srcOrd="0" destOrd="0" presId="urn:microsoft.com/office/officeart/2005/8/layout/chevron1"/>
    <dgm:cxn modelId="{68DB5038-C102-6742-8D57-0858465FA72E}" srcId="{9ACF7F91-C75C-FD4F-B78C-72EF49BA8778}" destId="{009717B3-E850-B04F-9BDE-11B857A8C4D3}" srcOrd="3" destOrd="0" parTransId="{744D9816-6C1F-D14D-B34D-3976AD3795D1}" sibTransId="{B64EF629-A50E-3A40-8578-97D07E5EE2AF}"/>
    <dgm:cxn modelId="{B0905750-A43D-1B40-93BB-5B0199A34146}" srcId="{9ACF7F91-C75C-FD4F-B78C-72EF49BA8778}" destId="{2043CF2D-C87D-3348-874B-F3AA2D3E5F72}" srcOrd="1" destOrd="0" parTransId="{5E84D04A-EF82-6D48-8808-575F70A18AFC}" sibTransId="{F7C5B9A0-B7F0-F744-A744-EBF2ADF1CFBB}"/>
    <dgm:cxn modelId="{6AA8AC71-1BB7-2840-811A-BC654EC58A37}" srcId="{9ACF7F91-C75C-FD4F-B78C-72EF49BA8778}" destId="{8F76C26A-7DCE-0349-A563-9F5728F18508}" srcOrd="0" destOrd="0" parTransId="{0BA491B5-FD8E-EE41-BFE6-BEA7A9E4F21C}" sibTransId="{054C9E7A-9C29-D64C-9969-582361F60559}"/>
    <dgm:cxn modelId="{5460DA5A-9C62-1647-B5BA-2021468EDF94}" srcId="{9ACF7F91-C75C-FD4F-B78C-72EF49BA8778}" destId="{14F73472-9306-0346-918D-ADB3AF692D4E}" srcOrd="4" destOrd="0" parTransId="{64ED2425-A7AF-0F4E-90F5-C79CEEBABBA6}" sibTransId="{EC0CA18C-F138-DE47-861C-0772D15A7C72}"/>
    <dgm:cxn modelId="{3A921C7B-4018-5C40-ACC8-8ECF00739871}" type="presOf" srcId="{9ACF7F91-C75C-FD4F-B78C-72EF49BA8778}" destId="{80F52A9A-F286-404C-A6FD-21823F254480}" srcOrd="0" destOrd="0" presId="urn:microsoft.com/office/officeart/2005/8/layout/chevron1"/>
    <dgm:cxn modelId="{DD42DD90-1BED-A647-8171-0C11B42DEA3B}" type="presOf" srcId="{14F73472-9306-0346-918D-ADB3AF692D4E}" destId="{2190C8B8-D4EE-9F42-ABDB-6DC8BD7600EA}" srcOrd="0" destOrd="0" presId="urn:microsoft.com/office/officeart/2005/8/layout/chevron1"/>
    <dgm:cxn modelId="{45BB5C94-32B2-1C4F-8562-2913AE2EE64A}" type="presOf" srcId="{8F76C26A-7DCE-0349-A563-9F5728F18508}" destId="{5C3B7A31-7DD4-9F40-8CCD-8556D05A8251}" srcOrd="0" destOrd="0" presId="urn:microsoft.com/office/officeart/2005/8/layout/chevron1"/>
    <dgm:cxn modelId="{5C234B98-FD70-6F43-ADB0-1D49147FB1BE}" srcId="{9ACF7F91-C75C-FD4F-B78C-72EF49BA8778}" destId="{4AEEB462-12EE-324F-AF35-48CBFC249DFF}" srcOrd="2" destOrd="0" parTransId="{B7064C16-8759-E84C-A367-9BDA33D90BE8}" sibTransId="{7A672040-275D-8D40-A11E-616867F89383}"/>
    <dgm:cxn modelId="{6362F4A0-2EB3-074E-A47F-1F50CAC41DAC}" type="presOf" srcId="{2043CF2D-C87D-3348-874B-F3AA2D3E5F72}" destId="{19556662-069D-D849-A8A1-DAEDFD391CAF}" srcOrd="0" destOrd="0" presId="urn:microsoft.com/office/officeart/2005/8/layout/chevron1"/>
    <dgm:cxn modelId="{EF66AEF8-7DC7-8845-BA2E-CC1EAFD0EE5D}" type="presOf" srcId="{009717B3-E850-B04F-9BDE-11B857A8C4D3}" destId="{7DE3170A-33BB-0D49-8FD5-3ACD56D13B60}" srcOrd="0" destOrd="0" presId="urn:microsoft.com/office/officeart/2005/8/layout/chevron1"/>
    <dgm:cxn modelId="{E4F8F677-7AF2-0045-851C-1D837391287C}" type="presParOf" srcId="{80F52A9A-F286-404C-A6FD-21823F254480}" destId="{5C3B7A31-7DD4-9F40-8CCD-8556D05A8251}" srcOrd="0" destOrd="0" presId="urn:microsoft.com/office/officeart/2005/8/layout/chevron1"/>
    <dgm:cxn modelId="{71CF1031-56D5-EC43-A6E9-8036BCD3BFC9}" type="presParOf" srcId="{80F52A9A-F286-404C-A6FD-21823F254480}" destId="{D5C490D3-5865-1E45-9ACA-0A714D689D08}" srcOrd="1" destOrd="0" presId="urn:microsoft.com/office/officeart/2005/8/layout/chevron1"/>
    <dgm:cxn modelId="{0E599ABF-717E-504D-BC10-346B0353F41E}" type="presParOf" srcId="{80F52A9A-F286-404C-A6FD-21823F254480}" destId="{19556662-069D-D849-A8A1-DAEDFD391CAF}" srcOrd="2" destOrd="0" presId="urn:microsoft.com/office/officeart/2005/8/layout/chevron1"/>
    <dgm:cxn modelId="{0BF29E6E-34BE-0049-BC2D-DCEF99F2310A}" type="presParOf" srcId="{80F52A9A-F286-404C-A6FD-21823F254480}" destId="{B807F8C0-CEB1-C342-A14B-77EA73B46CEF}" srcOrd="3" destOrd="0" presId="urn:microsoft.com/office/officeart/2005/8/layout/chevron1"/>
    <dgm:cxn modelId="{AFF506ED-ABF3-BE4B-A852-49C3CD3DBCCC}" type="presParOf" srcId="{80F52A9A-F286-404C-A6FD-21823F254480}" destId="{46D3370F-D675-1A40-BA33-2BE29255C5AE}" srcOrd="4" destOrd="0" presId="urn:microsoft.com/office/officeart/2005/8/layout/chevron1"/>
    <dgm:cxn modelId="{C0FFBF02-B871-3647-BD29-B2E315E1938B}" type="presParOf" srcId="{80F52A9A-F286-404C-A6FD-21823F254480}" destId="{903555D2-5D88-A64E-A932-0BD225FCB34D}" srcOrd="5" destOrd="0" presId="urn:microsoft.com/office/officeart/2005/8/layout/chevron1"/>
    <dgm:cxn modelId="{74ECA75B-18FF-B145-96F2-CA9218DE58FB}" type="presParOf" srcId="{80F52A9A-F286-404C-A6FD-21823F254480}" destId="{7DE3170A-33BB-0D49-8FD5-3ACD56D13B60}" srcOrd="6" destOrd="0" presId="urn:microsoft.com/office/officeart/2005/8/layout/chevron1"/>
    <dgm:cxn modelId="{3D074A89-4038-2545-BFA5-74398A1ED58B}" type="presParOf" srcId="{80F52A9A-F286-404C-A6FD-21823F254480}" destId="{441ED386-EB39-AA4B-9E9B-3B8C4D9D60ED}" srcOrd="7" destOrd="0" presId="urn:microsoft.com/office/officeart/2005/8/layout/chevron1"/>
    <dgm:cxn modelId="{A4F040B7-4E94-E943-B14E-8474B0AC1534}" type="presParOf" srcId="{80F52A9A-F286-404C-A6FD-21823F254480}" destId="{2190C8B8-D4EE-9F42-ABDB-6DC8BD7600EA}"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3B7A31-7DD4-9F40-8CCD-8556D05A8251}">
      <dsp:nvSpPr>
        <dsp:cNvPr id="0" name=""/>
        <dsp:cNvSpPr/>
      </dsp:nvSpPr>
      <dsp:spPr>
        <a:xfrm>
          <a:off x="1339" y="107608"/>
          <a:ext cx="1192113" cy="476845"/>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Font typeface="Symbol" pitchFamily="2" charset="2"/>
            <a:buNone/>
          </a:pPr>
          <a:r>
            <a:rPr lang="hu-HU" sz="600" kern="1200"/>
            <a:t>Az EIR által kezelt adatvagyon felmérése</a:t>
          </a:r>
        </a:p>
      </dsp:txBody>
      <dsp:txXfrm>
        <a:off x="239762" y="107608"/>
        <a:ext cx="715268" cy="476845"/>
      </dsp:txXfrm>
    </dsp:sp>
    <dsp:sp modelId="{19556662-069D-D849-A8A1-DAEDFD391CAF}">
      <dsp:nvSpPr>
        <dsp:cNvPr id="0" name=""/>
        <dsp:cNvSpPr/>
      </dsp:nvSpPr>
      <dsp:spPr>
        <a:xfrm>
          <a:off x="1074241" y="107608"/>
          <a:ext cx="1192113" cy="476845"/>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Font typeface="Symbol" pitchFamily="2" charset="2"/>
            <a:buNone/>
          </a:pPr>
          <a:r>
            <a:rPr lang="hu-HU" sz="600" kern="1200"/>
            <a:t>Fenyegetettségek meghatározása</a:t>
          </a:r>
        </a:p>
      </dsp:txBody>
      <dsp:txXfrm>
        <a:off x="1312664" y="107608"/>
        <a:ext cx="715268" cy="476845"/>
      </dsp:txXfrm>
    </dsp:sp>
    <dsp:sp modelId="{46D3370F-D675-1A40-BA33-2BE29255C5AE}">
      <dsp:nvSpPr>
        <dsp:cNvPr id="0" name=""/>
        <dsp:cNvSpPr/>
      </dsp:nvSpPr>
      <dsp:spPr>
        <a:xfrm>
          <a:off x="2147143" y="107608"/>
          <a:ext cx="1192113" cy="476845"/>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Font typeface="Symbol" pitchFamily="2" charset="2"/>
            <a:buNone/>
          </a:pPr>
          <a:r>
            <a:rPr lang="hu-HU" sz="600" kern="1200"/>
            <a:t>Kockázatok értékelése kárérték meghatározása alapján</a:t>
          </a:r>
        </a:p>
      </dsp:txBody>
      <dsp:txXfrm>
        <a:off x="2385566" y="107608"/>
        <a:ext cx="715268" cy="476845"/>
      </dsp:txXfrm>
    </dsp:sp>
    <dsp:sp modelId="{7DE3170A-33BB-0D49-8FD5-3ACD56D13B60}">
      <dsp:nvSpPr>
        <dsp:cNvPr id="0" name=""/>
        <dsp:cNvSpPr/>
      </dsp:nvSpPr>
      <dsp:spPr>
        <a:xfrm>
          <a:off x="3220045" y="107608"/>
          <a:ext cx="1192113" cy="476845"/>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Font typeface="Symbol" pitchFamily="2" charset="2"/>
            <a:buNone/>
          </a:pPr>
          <a:r>
            <a:rPr lang="hu-HU" sz="600" kern="1200"/>
            <a:t>EIR előzetes biztonsági osztályba sorolása</a:t>
          </a:r>
        </a:p>
      </dsp:txBody>
      <dsp:txXfrm>
        <a:off x="3458468" y="107608"/>
        <a:ext cx="715268" cy="476845"/>
      </dsp:txXfrm>
    </dsp:sp>
    <dsp:sp modelId="{2190C8B8-D4EE-9F42-ABDB-6DC8BD7600EA}">
      <dsp:nvSpPr>
        <dsp:cNvPr id="0" name=""/>
        <dsp:cNvSpPr/>
      </dsp:nvSpPr>
      <dsp:spPr>
        <a:xfrm>
          <a:off x="4292947" y="107608"/>
          <a:ext cx="1192113" cy="476845"/>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8001" rIns="8001" bIns="8001" numCol="1" spcCol="1270" anchor="ctr" anchorCtr="0">
          <a:noAutofit/>
        </a:bodyPr>
        <a:lstStyle/>
        <a:p>
          <a:pPr marL="0" lvl="0" indent="0" algn="ctr" defTabSz="266700">
            <a:lnSpc>
              <a:spcPct val="90000"/>
            </a:lnSpc>
            <a:spcBef>
              <a:spcPct val="0"/>
            </a:spcBef>
            <a:spcAft>
              <a:spcPct val="35000"/>
            </a:spcAft>
            <a:buNone/>
          </a:pPr>
          <a:r>
            <a:rPr lang="hu-HU" sz="600" kern="1200"/>
            <a:t>Előzetes biztonsági osztályba sorolás vezetői jóváhagyása</a:t>
          </a:r>
        </a:p>
      </dsp:txBody>
      <dsp:txXfrm>
        <a:off x="4531370" y="107608"/>
        <a:ext cx="715268" cy="4768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293D0-4364-40C2-8F60-EB99A0C5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3029</Words>
  <Characters>20902</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23884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Vitai Miklós</dc:creator>
  <cp:keywords/>
  <dc:description/>
  <cp:lastModifiedBy>Robin Pál Sávai</cp:lastModifiedBy>
  <cp:revision>12</cp:revision>
  <dcterms:created xsi:type="dcterms:W3CDTF">2023-09-25T07:58:00Z</dcterms:created>
  <dcterms:modified xsi:type="dcterms:W3CDTF">2023-10-02T06:24:00Z</dcterms:modified>
  <cp:category/>
</cp:coreProperties>
</file>